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EF7" w:rsidRPr="001F3166" w:rsidRDefault="00DC7EF7" w:rsidP="004075E0">
      <w:pPr>
        <w:pStyle w:val="Header"/>
        <w:tabs>
          <w:tab w:val="left" w:pos="6521"/>
        </w:tabs>
        <w:rPr>
          <w:b w:val="0"/>
          <w:i/>
          <w:noProof w:val="0"/>
          <w:sz w:val="24"/>
          <w:szCs w:val="24"/>
          <w:lang w:val="de-DE"/>
        </w:rPr>
      </w:pPr>
      <w:bookmarkStart w:id="0" w:name="OLE_LINK1"/>
      <w:r w:rsidRPr="001F3166">
        <w:rPr>
          <w:rFonts w:cs="Arial"/>
          <w:bCs/>
          <w:noProof w:val="0"/>
          <w:sz w:val="24"/>
          <w:szCs w:val="24"/>
          <w:lang w:val="de-DE"/>
        </w:rPr>
        <w:t xml:space="preserve">3GPP TSG RAN WG1 </w:t>
      </w:r>
      <w:r>
        <w:rPr>
          <w:rFonts w:cs="Arial"/>
          <w:bCs/>
          <w:noProof w:val="0"/>
          <w:sz w:val="24"/>
          <w:szCs w:val="24"/>
          <w:lang w:val="de-DE"/>
        </w:rPr>
        <w:t xml:space="preserve">Meeting </w:t>
      </w:r>
      <w:r w:rsidRPr="001F3166">
        <w:rPr>
          <w:rFonts w:cs="Arial"/>
          <w:bCs/>
          <w:noProof w:val="0"/>
          <w:sz w:val="24"/>
          <w:szCs w:val="24"/>
          <w:lang w:val="de-DE"/>
        </w:rPr>
        <w:t>#</w:t>
      </w:r>
      <w:r>
        <w:rPr>
          <w:rFonts w:cs="Arial"/>
          <w:bCs/>
          <w:noProof w:val="0"/>
          <w:sz w:val="24"/>
          <w:szCs w:val="24"/>
          <w:lang w:val="de-DE"/>
        </w:rPr>
        <w:t>82bis</w:t>
      </w:r>
      <w:r>
        <w:rPr>
          <w:b w:val="0"/>
          <w:noProof w:val="0"/>
          <w:sz w:val="24"/>
          <w:szCs w:val="24"/>
          <w:lang w:val="de-DE"/>
        </w:rPr>
        <w:tab/>
        <w:t xml:space="preserve">        </w:t>
      </w:r>
      <w:r>
        <w:rPr>
          <w:b w:val="0"/>
          <w:noProof w:val="0"/>
          <w:sz w:val="24"/>
          <w:szCs w:val="24"/>
          <w:lang w:val="de-DE"/>
        </w:rPr>
        <w:tab/>
      </w:r>
      <w:r>
        <w:rPr>
          <w:b w:val="0"/>
          <w:noProof w:val="0"/>
          <w:sz w:val="24"/>
          <w:szCs w:val="24"/>
          <w:lang w:val="de-DE"/>
        </w:rPr>
        <w:tab/>
        <w:t xml:space="preserve">  </w:t>
      </w:r>
      <w:r w:rsidRPr="008203DB">
        <w:rPr>
          <w:iCs/>
          <w:noProof w:val="0"/>
          <w:sz w:val="24"/>
          <w:szCs w:val="24"/>
          <w:lang w:val="de-DE"/>
        </w:rPr>
        <w:t>R1-1</w:t>
      </w:r>
      <w:r w:rsidRPr="008203DB">
        <w:rPr>
          <w:rFonts w:eastAsia="Malgun Gothic"/>
          <w:iCs/>
          <w:noProof w:val="0"/>
          <w:sz w:val="24"/>
          <w:szCs w:val="24"/>
          <w:lang w:val="de-DE" w:eastAsia="ko-KR"/>
        </w:rPr>
        <w:t>5</w:t>
      </w:r>
      <w:r w:rsidR="004075E0">
        <w:rPr>
          <w:rFonts w:eastAsia="Malgun Gothic"/>
          <w:iCs/>
          <w:noProof w:val="0"/>
          <w:sz w:val="24"/>
          <w:szCs w:val="24"/>
          <w:lang w:val="de-DE" w:eastAsia="ko-KR"/>
        </w:rPr>
        <w:t>5634</w:t>
      </w:r>
      <w:bookmarkStart w:id="1" w:name="_GoBack"/>
      <w:bookmarkEnd w:id="1"/>
    </w:p>
    <w:p w:rsidR="00DC7EF7" w:rsidRDefault="00DC7EF7" w:rsidP="00DC7EF7">
      <w:pPr>
        <w:pStyle w:val="Header"/>
        <w:rPr>
          <w:rFonts w:cs="Arial"/>
          <w:sz w:val="24"/>
          <w:szCs w:val="24"/>
        </w:rPr>
      </w:pPr>
      <w:r w:rsidRPr="0020073F">
        <w:rPr>
          <w:rFonts w:cs="Arial"/>
          <w:sz w:val="24"/>
          <w:szCs w:val="24"/>
          <w:lang w:val="en-US" w:eastAsia="ja-JP"/>
        </w:rPr>
        <w:t>Malmö, Sweden, 5</w:t>
      </w:r>
      <w:r w:rsidRPr="0020073F">
        <w:rPr>
          <w:rFonts w:cs="Arial"/>
          <w:sz w:val="24"/>
          <w:szCs w:val="24"/>
          <w:vertAlign w:val="superscript"/>
          <w:lang w:val="en-US" w:eastAsia="ja-JP"/>
        </w:rPr>
        <w:t>th</w:t>
      </w:r>
      <w:r w:rsidRPr="0020073F">
        <w:rPr>
          <w:rFonts w:cs="Arial"/>
          <w:sz w:val="24"/>
          <w:szCs w:val="24"/>
          <w:lang w:val="en-US" w:eastAsia="ja-JP"/>
        </w:rPr>
        <w:t xml:space="preserve"> - 9</w:t>
      </w:r>
      <w:r w:rsidRPr="0020073F">
        <w:rPr>
          <w:rFonts w:cs="Arial"/>
          <w:sz w:val="24"/>
          <w:szCs w:val="24"/>
          <w:vertAlign w:val="superscript"/>
          <w:lang w:val="en-US" w:eastAsia="ja-JP"/>
        </w:rPr>
        <w:t>th</w:t>
      </w:r>
      <w:r w:rsidRPr="0020073F">
        <w:rPr>
          <w:rFonts w:cs="Arial"/>
          <w:sz w:val="24"/>
          <w:szCs w:val="24"/>
          <w:lang w:val="en-US" w:eastAsia="ja-JP"/>
        </w:rPr>
        <w:t xml:space="preserve"> October </w:t>
      </w:r>
      <w:r w:rsidRPr="0020073F">
        <w:rPr>
          <w:rFonts w:cs="Arial"/>
          <w:sz w:val="24"/>
          <w:szCs w:val="24"/>
        </w:rPr>
        <w:t>2015</w:t>
      </w:r>
    </w:p>
    <w:p w:rsidR="00DC7EF7" w:rsidRDefault="00DC7EF7" w:rsidP="003F1A76">
      <w:pPr>
        <w:tabs>
          <w:tab w:val="left" w:pos="1985"/>
        </w:tabs>
        <w:spacing w:after="120"/>
        <w:rPr>
          <w:rFonts w:ascii="Arial" w:hAnsi="Arial"/>
          <w:b/>
          <w:sz w:val="24"/>
          <w:szCs w:val="24"/>
          <w:lang w:val="en-GB"/>
        </w:rPr>
      </w:pPr>
    </w:p>
    <w:p w:rsidR="00B20062" w:rsidRPr="001F3166" w:rsidRDefault="00B20062" w:rsidP="003F1A76">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2" w:name="Source"/>
      <w:bookmarkEnd w:id="2"/>
      <w:r w:rsidR="003F1A76">
        <w:rPr>
          <w:rFonts w:ascii="Arial" w:eastAsia="Malgun Gothic" w:hAnsi="Arial"/>
          <w:sz w:val="24"/>
          <w:szCs w:val="24"/>
          <w:lang w:eastAsia="ko-KR"/>
        </w:rPr>
        <w:t>7</w:t>
      </w:r>
      <w:r w:rsidR="00ED2FB8">
        <w:rPr>
          <w:rFonts w:ascii="Arial" w:eastAsia="Malgun Gothic" w:hAnsi="Arial"/>
          <w:sz w:val="24"/>
          <w:szCs w:val="24"/>
          <w:lang w:eastAsia="ko-KR"/>
        </w:rPr>
        <w:t>.</w:t>
      </w:r>
      <w:r w:rsidR="003F1A76">
        <w:rPr>
          <w:rFonts w:ascii="Arial" w:eastAsia="Malgun Gothic" w:hAnsi="Arial"/>
          <w:sz w:val="24"/>
          <w:szCs w:val="24"/>
          <w:lang w:eastAsia="ko-KR"/>
        </w:rPr>
        <w:t>2</w:t>
      </w:r>
      <w:r w:rsidR="00ED2FB8">
        <w:rPr>
          <w:rFonts w:ascii="Arial" w:eastAsia="Malgun Gothic" w:hAnsi="Arial"/>
          <w:sz w:val="24"/>
          <w:szCs w:val="24"/>
          <w:lang w:eastAsia="ko-KR"/>
        </w:rPr>
        <w:t>.</w:t>
      </w:r>
      <w:r w:rsidR="003F1A76">
        <w:rPr>
          <w:rFonts w:ascii="Arial" w:eastAsia="Malgun Gothic" w:hAnsi="Arial"/>
          <w:sz w:val="24"/>
          <w:szCs w:val="24"/>
          <w:lang w:eastAsia="ko-KR"/>
        </w:rPr>
        <w:t>1</w:t>
      </w:r>
      <w:r w:rsidR="00ED2FB8">
        <w:rPr>
          <w:rFonts w:ascii="Arial" w:eastAsia="Malgun Gothic" w:hAnsi="Arial"/>
          <w:sz w:val="24"/>
          <w:szCs w:val="24"/>
          <w:lang w:eastAsia="ko-KR"/>
        </w:rPr>
        <w:t>.</w:t>
      </w:r>
      <w:r w:rsidR="00DC7EF7">
        <w:rPr>
          <w:rFonts w:ascii="Arial" w:eastAsia="Malgun Gothic" w:hAnsi="Arial"/>
          <w:sz w:val="24"/>
          <w:szCs w:val="24"/>
          <w:lang w:eastAsia="ko-KR"/>
        </w:rPr>
        <w:t>9</w:t>
      </w:r>
    </w:p>
    <w:p w:rsidR="00B20062" w:rsidRPr="001F3166" w:rsidRDefault="00B20062" w:rsidP="00AC472D">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Pr>
          <w:rFonts w:ascii="Arial" w:hAnsi="Arial"/>
          <w:sz w:val="24"/>
        </w:rPr>
        <w:t>Marvell</w:t>
      </w:r>
      <w:r w:rsidRPr="001F3166">
        <w:rPr>
          <w:rFonts w:ascii="Arial" w:hAnsi="Arial"/>
          <w:sz w:val="24"/>
        </w:rPr>
        <w:t xml:space="preserve"> </w:t>
      </w:r>
    </w:p>
    <w:bookmarkEnd w:id="0"/>
    <w:p w:rsidR="00B20062" w:rsidRPr="004365A7" w:rsidRDefault="00B20062" w:rsidP="00087059">
      <w:pPr>
        <w:spacing w:after="120"/>
        <w:ind w:right="-177"/>
        <w:rPr>
          <w:rFonts w:asciiTheme="minorBidi" w:hAnsiTheme="minorBidi" w:cstheme="minorBidi"/>
          <w:sz w:val="24"/>
          <w:szCs w:val="24"/>
        </w:rPr>
      </w:pPr>
      <w:r w:rsidRPr="004365A7">
        <w:rPr>
          <w:rFonts w:asciiTheme="minorBidi" w:hAnsiTheme="minorBidi" w:cstheme="minorBidi"/>
          <w:b/>
          <w:sz w:val="24"/>
          <w:szCs w:val="24"/>
        </w:rPr>
        <w:t>Title:</w:t>
      </w:r>
      <w:r w:rsidRPr="004365A7">
        <w:rPr>
          <w:rFonts w:asciiTheme="minorBidi" w:hAnsiTheme="minorBidi" w:cstheme="minorBidi"/>
          <w:sz w:val="24"/>
          <w:szCs w:val="24"/>
        </w:rPr>
        <w:tab/>
      </w:r>
      <w:r w:rsidRPr="004365A7">
        <w:rPr>
          <w:rFonts w:asciiTheme="minorBidi" w:hAnsiTheme="minorBidi" w:cstheme="minorBidi"/>
          <w:sz w:val="24"/>
          <w:szCs w:val="24"/>
        </w:rPr>
        <w:tab/>
        <w:t xml:space="preserve">     </w:t>
      </w:r>
      <w:r w:rsidR="00673266">
        <w:rPr>
          <w:rFonts w:asciiTheme="minorBidi" w:hAnsiTheme="minorBidi" w:cstheme="minorBidi"/>
          <w:sz w:val="24"/>
          <w:szCs w:val="24"/>
        </w:rPr>
        <w:t xml:space="preserve"> </w:t>
      </w:r>
      <w:r w:rsidRPr="004365A7">
        <w:rPr>
          <w:rFonts w:asciiTheme="minorBidi" w:hAnsiTheme="minorBidi" w:cstheme="minorBidi"/>
          <w:sz w:val="24"/>
          <w:szCs w:val="24"/>
        </w:rPr>
        <w:t xml:space="preserve">  </w:t>
      </w:r>
      <w:r w:rsidR="00673266" w:rsidRPr="00673266">
        <w:rPr>
          <w:rFonts w:asciiTheme="minorBidi" w:hAnsiTheme="minorBidi" w:cstheme="minorBidi"/>
          <w:sz w:val="8"/>
          <w:szCs w:val="8"/>
        </w:rPr>
        <w:t xml:space="preserve"> </w:t>
      </w:r>
      <w:r w:rsidR="00087059">
        <w:rPr>
          <w:rFonts w:asciiTheme="minorBidi" w:hAnsiTheme="minorBidi" w:cstheme="minorBidi"/>
          <w:sz w:val="24"/>
          <w:szCs w:val="24"/>
        </w:rPr>
        <w:t>Carrier Frequency and Phase Continuity for MTC UE</w:t>
      </w:r>
    </w:p>
    <w:p w:rsidR="00B20062" w:rsidRPr="001F3166" w:rsidRDefault="00B20062" w:rsidP="00B20062">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3" w:name="DocumentFor"/>
      <w:bookmarkEnd w:id="3"/>
      <w:r w:rsidRPr="001F3166">
        <w:rPr>
          <w:rFonts w:ascii="Arial" w:eastAsia="Batang" w:hAnsi="Arial"/>
          <w:sz w:val="24"/>
          <w:lang w:eastAsia="ko-KR"/>
        </w:rPr>
        <w:t>Discussion and Decision</w:t>
      </w:r>
    </w:p>
    <w:p w:rsidR="006D4B15" w:rsidRDefault="00A764AC" w:rsidP="00A764AC">
      <w:pPr>
        <w:pStyle w:val="Heading1"/>
        <w:numPr>
          <w:ilvl w:val="0"/>
          <w:numId w:val="1"/>
        </w:numPr>
        <w:rPr>
          <w:color w:val="auto"/>
        </w:rPr>
      </w:pPr>
      <w:r>
        <w:rPr>
          <w:color w:val="auto"/>
        </w:rPr>
        <w:t>Introduction</w:t>
      </w:r>
    </w:p>
    <w:p w:rsidR="00727576" w:rsidRPr="006E4414" w:rsidRDefault="00ED2FB8" w:rsidP="00433861">
      <w:r w:rsidRPr="006E4414">
        <w:t xml:space="preserve">This contribution </w:t>
      </w:r>
      <w:r w:rsidR="002A057C" w:rsidRPr="006E4414">
        <w:t>considers</w:t>
      </w:r>
      <w:r w:rsidR="00257C71" w:rsidRPr="006E4414">
        <w:t xml:space="preserve"> a change in the definition of carrier frequency that is required for Release 13 MTC [1]. The impact of this change on receiver processing is also discussed, </w:t>
      </w:r>
      <w:r w:rsidR="00727576" w:rsidRPr="006E4414">
        <w:t xml:space="preserve">and we show that specific phase compensation needs to be applied at the receiver for MTC </w:t>
      </w:r>
      <w:r w:rsidR="008B0438">
        <w:t>signals</w:t>
      </w:r>
      <w:r w:rsidR="00727576" w:rsidRPr="006E4414">
        <w:t xml:space="preserve"> in order to maintain phase continuity over the OFDM</w:t>
      </w:r>
      <w:r w:rsidR="00433861">
        <w:t>/SC-FDMA</w:t>
      </w:r>
      <w:r w:rsidR="00727576" w:rsidRPr="006E4414">
        <w:t xml:space="preserve"> symbols. </w:t>
      </w:r>
    </w:p>
    <w:p w:rsidR="00727576" w:rsidRPr="006E4414" w:rsidRDefault="00727576" w:rsidP="006E4414">
      <w:r w:rsidRPr="006E4414">
        <w:t>We also propose a</w:t>
      </w:r>
      <w:r w:rsidR="00257C71" w:rsidRPr="006E4414">
        <w:t xml:space="preserve">n alternative transmitter-based </w:t>
      </w:r>
      <w:r w:rsidRPr="006E4414">
        <w:t>approach that enables the receiver to avoid phase compensation per MTC UE. In the case of the uplink, this approach enables the low</w:t>
      </w:r>
      <w:r w:rsidR="00744AB1">
        <w:t>-</w:t>
      </w:r>
      <w:r w:rsidRPr="006E4414">
        <w:t xml:space="preserve">level receiver at the eNodeB to process all the MTC UE signals the same as legacy LTE signals; no knowledge of which PRBs </w:t>
      </w:r>
      <w:r w:rsidR="00BB1301">
        <w:t xml:space="preserve">(or which Narrowbands) </w:t>
      </w:r>
      <w:r w:rsidRPr="006E4414">
        <w:t>were received from MTC users is necessary.</w:t>
      </w:r>
    </w:p>
    <w:p w:rsidR="00193CF3" w:rsidRDefault="00257C71" w:rsidP="00193CF3">
      <w:pPr>
        <w:pStyle w:val="Heading1"/>
        <w:numPr>
          <w:ilvl w:val="0"/>
          <w:numId w:val="1"/>
        </w:numPr>
        <w:rPr>
          <w:color w:val="auto"/>
        </w:rPr>
      </w:pPr>
      <w:r>
        <w:rPr>
          <w:color w:val="auto"/>
        </w:rPr>
        <w:t>MTC Carrier Frequency</w:t>
      </w:r>
    </w:p>
    <w:p w:rsidR="00615673" w:rsidRPr="006E4414" w:rsidRDefault="001F103D" w:rsidP="00433861">
      <w:pPr>
        <w:spacing w:after="200" w:line="276" w:lineRule="auto"/>
        <w:rPr>
          <w:szCs w:val="22"/>
        </w:rPr>
      </w:pPr>
      <w:r w:rsidRPr="006E4414">
        <w:rPr>
          <w:szCs w:val="22"/>
        </w:rPr>
        <w:t xml:space="preserve">For legacy LTE the carrier frequency definition </w:t>
      </w:r>
      <w:r w:rsidR="00615673" w:rsidRPr="006E4414">
        <w:rPr>
          <w:szCs w:val="22"/>
        </w:rPr>
        <w:t>is straightforward</w:t>
      </w:r>
      <w:r w:rsidRPr="006E4414">
        <w:rPr>
          <w:szCs w:val="22"/>
        </w:rPr>
        <w:t xml:space="preserve">: </w:t>
      </w:r>
      <w:r w:rsidR="00615673" w:rsidRPr="006E4414">
        <w:rPr>
          <w:szCs w:val="22"/>
        </w:rPr>
        <w:t xml:space="preserve">the carrier frequency is used to up-convert the baseband signal spanning the LTE system bandwidth, to the appropriate channel within the cellular frequency band. In the case of Release 13 MTC, each UE’s </w:t>
      </w:r>
      <w:r w:rsidR="0081126A">
        <w:rPr>
          <w:szCs w:val="22"/>
        </w:rPr>
        <w:t xml:space="preserve">uplink </w:t>
      </w:r>
      <w:r w:rsidR="008B0438">
        <w:rPr>
          <w:szCs w:val="22"/>
        </w:rPr>
        <w:t xml:space="preserve">baseband </w:t>
      </w:r>
      <w:r w:rsidR="00615673" w:rsidRPr="006E4414">
        <w:rPr>
          <w:szCs w:val="22"/>
        </w:rPr>
        <w:t xml:space="preserve">signal is limited to 6 PRBs </w:t>
      </w:r>
      <w:r w:rsidR="008B0438">
        <w:rPr>
          <w:szCs w:val="22"/>
        </w:rPr>
        <w:t xml:space="preserve">– a “Narrowband” – </w:t>
      </w:r>
      <w:r w:rsidR="00615673" w:rsidRPr="006E4414">
        <w:rPr>
          <w:szCs w:val="22"/>
        </w:rPr>
        <w:t xml:space="preserve">and is not centered within the legacy LTE system bandwidth. Therefore, if the carrier frequency of the legacy users is </w:t>
      </w:r>
      <w:r w:rsidR="00615673" w:rsidRPr="006E4414">
        <w:rPr>
          <w:position w:val="-12"/>
          <w:szCs w:val="22"/>
        </w:rPr>
        <w:object w:dxaOrig="27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8pt" o:ole="">
            <v:imagedata r:id="rId9" o:title=""/>
          </v:shape>
          <o:OLEObject Type="Embed" ProgID="Equation.3" ShapeID="_x0000_i1025" DrawAspect="Content" ObjectID="_1504632215" r:id="rId10"/>
        </w:object>
      </w:r>
      <w:r w:rsidR="00615673" w:rsidRPr="006E4414">
        <w:rPr>
          <w:szCs w:val="22"/>
        </w:rPr>
        <w:t xml:space="preserve"> then the carrier frequency of each R</w:t>
      </w:r>
      <w:r w:rsidR="008B0438">
        <w:rPr>
          <w:szCs w:val="22"/>
        </w:rPr>
        <w:t xml:space="preserve">el. </w:t>
      </w:r>
      <w:r w:rsidR="00615673" w:rsidRPr="006E4414">
        <w:rPr>
          <w:szCs w:val="22"/>
        </w:rPr>
        <w:t xml:space="preserve">13 MTC UE is </w:t>
      </w:r>
      <w:r w:rsidR="00615673" w:rsidRPr="006E4414">
        <w:rPr>
          <w:position w:val="-12"/>
          <w:szCs w:val="22"/>
        </w:rPr>
        <w:object w:dxaOrig="1200" w:dyaOrig="360">
          <v:shape id="_x0000_i1026" type="#_x0000_t75" style="width:60pt;height:18pt" o:ole="">
            <v:imagedata r:id="rId11" o:title=""/>
          </v:shape>
          <o:OLEObject Type="Embed" ProgID="Equation.3" ShapeID="_x0000_i1026" DrawAspect="Content" ObjectID="_1504632216" r:id="rId12"/>
        </w:object>
      </w:r>
      <w:r w:rsidR="00615673" w:rsidRPr="006E4414">
        <w:rPr>
          <w:szCs w:val="22"/>
        </w:rPr>
        <w:t xml:space="preserve">, where </w:t>
      </w:r>
      <w:r w:rsidR="006E4414" w:rsidRPr="006E4414">
        <w:rPr>
          <w:position w:val="-10"/>
          <w:szCs w:val="22"/>
        </w:rPr>
        <w:object w:dxaOrig="340" w:dyaOrig="320">
          <v:shape id="_x0000_i1027" type="#_x0000_t75" style="width:16.5pt;height:15.75pt" o:ole="">
            <v:imagedata r:id="rId13" o:title=""/>
          </v:shape>
          <o:OLEObject Type="Embed" ProgID="Equation.3" ShapeID="_x0000_i1027" DrawAspect="Content" ObjectID="_1504632217" r:id="rId14"/>
        </w:object>
      </w:r>
      <w:r w:rsidR="006E4414" w:rsidRPr="006E4414">
        <w:rPr>
          <w:szCs w:val="22"/>
        </w:rPr>
        <w:t>=15 KHz</w:t>
      </w:r>
      <w:r w:rsidR="00615673" w:rsidRPr="006E4414">
        <w:rPr>
          <w:szCs w:val="22"/>
        </w:rPr>
        <w:t xml:space="preserve"> is the subcarrier frequency-spacing and </w:t>
      </w:r>
      <w:r w:rsidR="00615673" w:rsidRPr="006E4414">
        <w:rPr>
          <w:position w:val="-4"/>
          <w:szCs w:val="22"/>
        </w:rPr>
        <w:object w:dxaOrig="360" w:dyaOrig="260">
          <v:shape id="_x0000_i1028" type="#_x0000_t75" style="width:18pt;height:12.75pt" o:ole="">
            <v:imagedata r:id="rId15" o:title=""/>
          </v:shape>
          <o:OLEObject Type="Embed" ProgID="Equation.3" ShapeID="_x0000_i1028" DrawAspect="Content" ObjectID="_1504632218" r:id="rId16"/>
        </w:object>
      </w:r>
      <w:r w:rsidR="00615673" w:rsidRPr="006E4414">
        <w:rPr>
          <w:szCs w:val="22"/>
        </w:rPr>
        <w:t xml:space="preserve">is the </w:t>
      </w:r>
      <w:r w:rsidR="00CF2E43">
        <w:rPr>
          <w:szCs w:val="22"/>
        </w:rPr>
        <w:t xml:space="preserve">integer </w:t>
      </w:r>
      <w:r w:rsidR="00615673" w:rsidRPr="006E4414">
        <w:rPr>
          <w:szCs w:val="22"/>
        </w:rPr>
        <w:t xml:space="preserve">UE-dependent shift in the carrier frequency in  units of </w:t>
      </w:r>
      <w:r w:rsidR="00615673" w:rsidRPr="006E4414">
        <w:rPr>
          <w:position w:val="-10"/>
          <w:szCs w:val="22"/>
        </w:rPr>
        <w:object w:dxaOrig="340" w:dyaOrig="320">
          <v:shape id="_x0000_i1029" type="#_x0000_t75" style="width:16.5pt;height:15.75pt" o:ole="">
            <v:imagedata r:id="rId17" o:title=""/>
          </v:shape>
          <o:OLEObject Type="Embed" ProgID="Equation.3" ShapeID="_x0000_i1029" DrawAspect="Content" ObjectID="_1504632219" r:id="rId18"/>
        </w:object>
      </w:r>
      <w:r w:rsidR="00615673" w:rsidRPr="006E4414">
        <w:rPr>
          <w:szCs w:val="22"/>
        </w:rPr>
        <w:t>.</w:t>
      </w:r>
      <w:r w:rsidR="00F52555" w:rsidRPr="006E4414">
        <w:rPr>
          <w:szCs w:val="22"/>
        </w:rPr>
        <w:t xml:space="preserve"> Therefore, the transmitted signal for </w:t>
      </w:r>
      <w:r w:rsidR="00433861">
        <w:rPr>
          <w:szCs w:val="22"/>
        </w:rPr>
        <w:t>SC-FDMA</w:t>
      </w:r>
      <w:r w:rsidR="00F52555" w:rsidRPr="006E4414">
        <w:rPr>
          <w:szCs w:val="22"/>
        </w:rPr>
        <w:t xml:space="preserve"> symbol </w:t>
      </w:r>
      <w:r w:rsidR="00F52555" w:rsidRPr="006E4414">
        <w:rPr>
          <w:position w:val="-6"/>
          <w:szCs w:val="22"/>
        </w:rPr>
        <w:object w:dxaOrig="139" w:dyaOrig="279">
          <v:shape id="_x0000_i1030" type="#_x0000_t75" style="width:6.75pt;height:14.25pt" o:ole="">
            <v:imagedata r:id="rId19" o:title=""/>
          </v:shape>
          <o:OLEObject Type="Embed" ProgID="Equation.3" ShapeID="_x0000_i1030" DrawAspect="Content" ObjectID="_1504632220" r:id="rId20"/>
        </w:object>
      </w:r>
      <w:r w:rsidR="00F52555" w:rsidRPr="006E4414">
        <w:rPr>
          <w:szCs w:val="22"/>
        </w:rPr>
        <w:t xml:space="preserve"> can be written as:</w:t>
      </w:r>
    </w:p>
    <w:p w:rsidR="001F103D" w:rsidRDefault="001F103D" w:rsidP="001F103D">
      <w:pPr>
        <w:pStyle w:val="Caption"/>
      </w:pPr>
      <w:bookmarkStart w:id="4" w:name="_Ref424055724"/>
      <w:r>
        <w:t xml:space="preserve">Equation </w:t>
      </w:r>
      <w:r w:rsidR="006826EA">
        <w:fldChar w:fldCharType="begin"/>
      </w:r>
      <w:r w:rsidR="006826EA">
        <w:instrText xml:space="preserve"> SEQ Equation \* ARABIC </w:instrText>
      </w:r>
      <w:r w:rsidR="006826EA">
        <w:fldChar w:fldCharType="separate"/>
      </w:r>
      <w:r w:rsidR="00F52555">
        <w:rPr>
          <w:noProof/>
        </w:rPr>
        <w:t>1</w:t>
      </w:r>
      <w:r w:rsidR="006826EA">
        <w:rPr>
          <w:noProof/>
        </w:rPr>
        <w:fldChar w:fldCharType="end"/>
      </w:r>
      <w:bookmarkEnd w:id="4"/>
      <w:r>
        <w:tab/>
      </w:r>
      <w:r w:rsidR="00050A6C" w:rsidRPr="00962FD8">
        <w:rPr>
          <w:position w:val="-44"/>
        </w:rPr>
        <w:object w:dxaOrig="6380" w:dyaOrig="999">
          <v:shape id="_x0000_i1031" type="#_x0000_t75" style="width:319.5pt;height:50.25pt" o:ole="">
            <v:imagedata r:id="rId21" o:title=""/>
          </v:shape>
          <o:OLEObject Type="Embed" ProgID="Equation.3" ShapeID="_x0000_i1031" DrawAspect="Content" ObjectID="_1504632221" r:id="rId22"/>
        </w:object>
      </w:r>
    </w:p>
    <w:p w:rsidR="001F103D" w:rsidRDefault="001F103D" w:rsidP="001F103D">
      <w:pPr>
        <w:pStyle w:val="BodyText"/>
      </w:pPr>
      <w:r>
        <w:t xml:space="preserve">where: </w:t>
      </w:r>
    </w:p>
    <w:p w:rsidR="001F103D" w:rsidRDefault="001F103D" w:rsidP="001F103D">
      <w:pPr>
        <w:pStyle w:val="BodyText"/>
        <w:ind w:firstLine="720"/>
      </w:pPr>
      <w:r w:rsidRPr="008F5B80">
        <w:rPr>
          <w:position w:val="-44"/>
          <w:sz w:val="10"/>
          <w:szCs w:val="10"/>
        </w:rPr>
        <w:object w:dxaOrig="4760" w:dyaOrig="999">
          <v:shape id="_x0000_i1032" type="#_x0000_t75" style="width:237.75pt;height:50.25pt" o:ole="">
            <v:imagedata r:id="rId23" o:title=""/>
          </v:shape>
          <o:OLEObject Type="Embed" ProgID="Equation.3" ShapeID="_x0000_i1032" DrawAspect="Content" ObjectID="_1504632222" r:id="rId24"/>
        </w:object>
      </w:r>
    </w:p>
    <w:p w:rsidR="001F103D" w:rsidRPr="006E4414" w:rsidRDefault="001F103D" w:rsidP="00433861">
      <w:r w:rsidRPr="006E4414">
        <w:rPr>
          <w:position w:val="-12"/>
        </w:rPr>
        <w:object w:dxaOrig="380" w:dyaOrig="360">
          <v:shape id="_x0000_i1033" type="#_x0000_t75" style="width:18.75pt;height:18pt" o:ole="">
            <v:imagedata r:id="rId25" o:title=""/>
          </v:shape>
          <o:OLEObject Type="Embed" ProgID="Equation.3" ShapeID="_x0000_i1033" DrawAspect="Content" ObjectID="_1504632223" r:id="rId26"/>
        </w:object>
      </w:r>
      <w:r w:rsidRPr="006E4414">
        <w:t xml:space="preserve"> is the maximum number of frequency subcarriers in the transmitted signal bandwidth,  </w:t>
      </w:r>
      <w:r w:rsidRPr="006E4414">
        <w:rPr>
          <w:position w:val="-12"/>
        </w:rPr>
        <w:object w:dxaOrig="1760" w:dyaOrig="380">
          <v:shape id="_x0000_i1034" type="#_x0000_t75" style="width:87.75pt;height:18.75pt" o:ole="">
            <v:imagedata r:id="rId27" o:title=""/>
          </v:shape>
          <o:OLEObject Type="Embed" ProgID="Equation.3" ShapeID="_x0000_i1034" DrawAspect="Content" ObjectID="_1504632224" r:id="rId28"/>
        </w:object>
      </w:r>
      <w:r w:rsidRPr="006E4414">
        <w:t xml:space="preserve">, </w:t>
      </w:r>
      <w:r w:rsidRPr="006E4414">
        <w:rPr>
          <w:position w:val="-6"/>
        </w:rPr>
        <w:object w:dxaOrig="279" w:dyaOrig="279">
          <v:shape id="_x0000_i1035" type="#_x0000_t75" style="width:14.25pt;height:14.25pt" o:ole="">
            <v:imagedata r:id="rId29" o:title=""/>
          </v:shape>
          <o:OLEObject Type="Embed" ProgID="Equation.3" ShapeID="_x0000_i1035" DrawAspect="Content" ObjectID="_1504632225" r:id="rId30"/>
        </w:object>
      </w:r>
      <w:r w:rsidR="006E4414" w:rsidRPr="006E4414">
        <w:t xml:space="preserve">=2048 </w:t>
      </w:r>
      <w:r w:rsidRPr="006E4414">
        <w:t xml:space="preserve">is the duration of the </w:t>
      </w:r>
      <w:r w:rsidR="00433861">
        <w:t>SC-FDMA</w:t>
      </w:r>
      <w:r w:rsidRPr="006E4414">
        <w:t xml:space="preserve"> symbol not including the cyclic prefix (CP) in units of </w:t>
      </w:r>
      <w:r w:rsidRPr="006E4414">
        <w:rPr>
          <w:position w:val="-12"/>
        </w:rPr>
        <w:object w:dxaOrig="240" w:dyaOrig="360">
          <v:shape id="_x0000_i1036" type="#_x0000_t75" style="width:12pt;height:18pt" o:ole="">
            <v:imagedata r:id="rId31" o:title=""/>
          </v:shape>
          <o:OLEObject Type="Embed" ProgID="Equation.3" ShapeID="_x0000_i1036" DrawAspect="Content" ObjectID="_1504632226" r:id="rId32"/>
        </w:object>
      </w:r>
      <w:r w:rsidRPr="006E4414">
        <w:t xml:space="preserve">, where </w:t>
      </w:r>
      <w:r w:rsidRPr="006E4414">
        <w:rPr>
          <w:position w:val="-12"/>
        </w:rPr>
        <w:object w:dxaOrig="1280" w:dyaOrig="360">
          <v:shape id="_x0000_i1037" type="#_x0000_t75" style="width:63.75pt;height:18pt" o:ole="">
            <v:imagedata r:id="rId33" o:title=""/>
          </v:shape>
          <o:OLEObject Type="Embed" ProgID="Equation.3" ShapeID="_x0000_i1037" DrawAspect="Content" ObjectID="_1504632227" r:id="rId34"/>
        </w:object>
      </w:r>
      <w:r w:rsidRPr="006E4414">
        <w:t xml:space="preserve">, </w:t>
      </w:r>
      <w:r w:rsidRPr="006E4414">
        <w:rPr>
          <w:position w:val="-14"/>
        </w:rPr>
        <w:object w:dxaOrig="540" w:dyaOrig="380">
          <v:shape id="_x0000_i1038" type="#_x0000_t75" style="width:27pt;height:18.75pt" o:ole="">
            <v:imagedata r:id="rId35" o:title=""/>
          </v:shape>
          <o:OLEObject Type="Embed" ProgID="Equation.3" ShapeID="_x0000_i1038" DrawAspect="Content" ObjectID="_1504632228" r:id="rId36"/>
        </w:object>
      </w:r>
      <w:r w:rsidRPr="006E4414">
        <w:t xml:space="preserve"> is the duration of the </w:t>
      </w:r>
      <w:r w:rsidRPr="006E4414">
        <w:rPr>
          <w:i/>
          <w:iCs/>
        </w:rPr>
        <w:t>l</w:t>
      </w:r>
      <w:r w:rsidRPr="006E4414">
        <w:t xml:space="preserve">-th symbol CP in units of </w:t>
      </w:r>
      <w:r w:rsidRPr="006E4414">
        <w:rPr>
          <w:position w:val="-12"/>
        </w:rPr>
        <w:object w:dxaOrig="240" w:dyaOrig="360">
          <v:shape id="_x0000_i1039" type="#_x0000_t75" style="width:12pt;height:18pt" o:ole="">
            <v:imagedata r:id="rId31" o:title=""/>
          </v:shape>
          <o:OLEObject Type="Embed" ProgID="Equation.3" ShapeID="_x0000_i1039" DrawAspect="Content" ObjectID="_1504632229" r:id="rId37"/>
        </w:object>
      </w:r>
      <w:r w:rsidRPr="006E4414">
        <w:t xml:space="preserve">, and </w:t>
      </w:r>
      <w:r w:rsidRPr="006E4414">
        <w:rPr>
          <w:position w:val="-12"/>
        </w:rPr>
        <w:object w:dxaOrig="340" w:dyaOrig="320">
          <v:shape id="_x0000_i1040" type="#_x0000_t75" style="width:16.5pt;height:15.75pt" o:ole="">
            <v:imagedata r:id="rId38" o:title=""/>
          </v:shape>
          <o:OLEObject Type="Embed" ProgID="Equation.3" ShapeID="_x0000_i1040" DrawAspect="Content" ObjectID="_1504632230" r:id="rId39"/>
        </w:object>
      </w:r>
      <w:r w:rsidRPr="006E4414">
        <w:t xml:space="preserve"> are complex numbers representing the </w:t>
      </w:r>
      <w:r w:rsidR="00050A6C">
        <w:t xml:space="preserve">SC-FDMA </w:t>
      </w:r>
      <w:r w:rsidRPr="006E4414">
        <w:t xml:space="preserve">symbol content in the </w:t>
      </w:r>
      <w:r w:rsidRPr="006E4414">
        <w:rPr>
          <w:position w:val="-10"/>
        </w:rPr>
        <w:object w:dxaOrig="499" w:dyaOrig="340">
          <v:shape id="_x0000_i1041" type="#_x0000_t75" style="width:25.5pt;height:16.5pt" o:ole="">
            <v:imagedata r:id="rId40" o:title=""/>
          </v:shape>
          <o:OLEObject Type="Embed" ProgID="Equation.3" ShapeID="_x0000_i1041" DrawAspect="Content" ObjectID="_1504632231" r:id="rId41"/>
        </w:object>
      </w:r>
      <w:r w:rsidR="00050A6C">
        <w:t xml:space="preserve"> frequency-time RE </w:t>
      </w:r>
      <w:r w:rsidRPr="006E4414">
        <w:t>[</w:t>
      </w:r>
      <w:r w:rsidR="00066AF1">
        <w:t>2</w:t>
      </w:r>
      <w:r w:rsidRPr="006E4414">
        <w:t xml:space="preserve">].  </w:t>
      </w:r>
    </w:p>
    <w:p w:rsidR="006E4414" w:rsidRPr="006E4414" w:rsidRDefault="001F103D" w:rsidP="006E4414">
      <w:pPr>
        <w:rPr>
          <w:b/>
          <w:bCs/>
        </w:rPr>
      </w:pPr>
      <w:r w:rsidRPr="006E4414">
        <w:rPr>
          <w:b/>
          <w:bCs/>
        </w:rPr>
        <w:t>Proposal</w:t>
      </w:r>
      <w:r w:rsidR="006E4414" w:rsidRPr="006E4414">
        <w:rPr>
          <w:b/>
          <w:bCs/>
        </w:rPr>
        <w:t xml:space="preserve"> 1</w:t>
      </w:r>
      <w:r w:rsidRPr="006E4414">
        <w:rPr>
          <w:b/>
          <w:bCs/>
        </w:rPr>
        <w:t xml:space="preserve">: The new definition of carrier frequency for </w:t>
      </w:r>
      <w:r w:rsidR="008B0438">
        <w:rPr>
          <w:b/>
          <w:bCs/>
        </w:rPr>
        <w:t xml:space="preserve">Rel. 13 </w:t>
      </w:r>
      <w:r w:rsidRPr="006E4414">
        <w:rPr>
          <w:b/>
          <w:bCs/>
        </w:rPr>
        <w:t>MTC UEs should be clarified</w:t>
      </w:r>
      <w:r w:rsidR="006E4414" w:rsidRPr="006E4414">
        <w:rPr>
          <w:b/>
          <w:bCs/>
        </w:rPr>
        <w:t xml:space="preserve"> in the specification</w:t>
      </w:r>
      <w:r w:rsidRPr="006E4414">
        <w:rPr>
          <w:b/>
          <w:bCs/>
        </w:rPr>
        <w:t xml:space="preserve">. </w:t>
      </w:r>
    </w:p>
    <w:p w:rsidR="00727576" w:rsidRDefault="00727576" w:rsidP="00727576">
      <w:pPr>
        <w:pStyle w:val="Heading1"/>
        <w:numPr>
          <w:ilvl w:val="0"/>
          <w:numId w:val="1"/>
        </w:numPr>
        <w:rPr>
          <w:color w:val="auto"/>
        </w:rPr>
      </w:pPr>
      <w:r>
        <w:rPr>
          <w:color w:val="auto"/>
        </w:rPr>
        <w:t>Impact on Receiver Processing</w:t>
      </w:r>
    </w:p>
    <w:p w:rsidR="00CF2E43" w:rsidRDefault="00CF2E43" w:rsidP="0081126A">
      <w:r>
        <w:t xml:space="preserve">We consider here the uplink receiver at the eNodeB, although </w:t>
      </w:r>
      <w:r w:rsidR="002A5D0F">
        <w:t xml:space="preserve">we note that </w:t>
      </w:r>
      <w:r>
        <w:t xml:space="preserve">a similar issue arises at the downlink </w:t>
      </w:r>
      <w:r w:rsidR="008B0438">
        <w:t>MTC</w:t>
      </w:r>
      <w:r>
        <w:t xml:space="preserve"> receiver. </w:t>
      </w:r>
      <w:r w:rsidR="0081126A">
        <w:t>T</w:t>
      </w:r>
      <w:r>
        <w:t xml:space="preserve">he eNodeB receives both legacy LTE signals and different Rel. 13 MTC signals, </w:t>
      </w:r>
      <w:r w:rsidR="0081126A">
        <w:t xml:space="preserve">and </w:t>
      </w:r>
      <w:r>
        <w:t>it is desirable to perform a single down-co</w:t>
      </w:r>
      <w:r w:rsidR="0081126A">
        <w:t>n</w:t>
      </w:r>
      <w:r>
        <w:t xml:space="preserve">version </w:t>
      </w:r>
      <w:r w:rsidR="0081126A">
        <w:t xml:space="preserve">operation </w:t>
      </w:r>
      <w:r>
        <w:t xml:space="preserve">based on the carrier frequency </w:t>
      </w:r>
      <w:r w:rsidRPr="006E4414">
        <w:rPr>
          <w:position w:val="-12"/>
          <w:szCs w:val="22"/>
        </w:rPr>
        <w:object w:dxaOrig="279" w:dyaOrig="360">
          <v:shape id="_x0000_i1042" type="#_x0000_t75" style="width:14.25pt;height:18pt" o:ole="">
            <v:imagedata r:id="rId9" o:title=""/>
          </v:shape>
          <o:OLEObject Type="Embed" ProgID="Equation.3" ShapeID="_x0000_i1042" DrawAspect="Content" ObjectID="_1504632232" r:id="rId42"/>
        </w:object>
      </w:r>
      <w:r>
        <w:rPr>
          <w:szCs w:val="22"/>
        </w:rPr>
        <w:t xml:space="preserve"> </w:t>
      </w:r>
      <w:r>
        <w:t xml:space="preserve"> followed by a single large FFT covering the entire system bandwidth</w:t>
      </w:r>
      <w:r w:rsidR="008B0438">
        <w:t>,</w:t>
      </w:r>
      <w:r>
        <w:t xml:space="preserve"> in order to recover the symbols of all users. After down-co</w:t>
      </w:r>
      <w:r w:rsidR="0081126A">
        <w:t>n</w:t>
      </w:r>
      <w:r>
        <w:t>verting the received MTC signal</w:t>
      </w:r>
      <w:r w:rsidR="007451D9">
        <w:t xml:space="preserve"> based on </w:t>
      </w:r>
      <w:r w:rsidR="007451D9" w:rsidRPr="006E4414">
        <w:rPr>
          <w:position w:val="-12"/>
          <w:szCs w:val="22"/>
        </w:rPr>
        <w:object w:dxaOrig="279" w:dyaOrig="360">
          <v:shape id="_x0000_i1043" type="#_x0000_t75" style="width:14.25pt;height:18pt" o:ole="">
            <v:imagedata r:id="rId9" o:title=""/>
          </v:shape>
          <o:OLEObject Type="Embed" ProgID="Equation.3" ShapeID="_x0000_i1043" DrawAspect="Content" ObjectID="_1504632233" r:id="rId43"/>
        </w:object>
      </w:r>
      <w:r>
        <w:t xml:space="preserve">, the complex baseband signal for the </w:t>
      </w:r>
      <w:r>
        <w:rPr>
          <w:i/>
          <w:iCs/>
        </w:rPr>
        <w:t>l</w:t>
      </w:r>
      <w:r>
        <w:t>-th symbol can be written as:</w:t>
      </w:r>
    </w:p>
    <w:p w:rsidR="001F103D" w:rsidRDefault="001F103D" w:rsidP="001F103D">
      <w:pPr>
        <w:pStyle w:val="Caption"/>
      </w:pPr>
      <w:r>
        <w:t xml:space="preserve">Equation </w:t>
      </w:r>
      <w:r w:rsidR="006826EA">
        <w:fldChar w:fldCharType="begin"/>
      </w:r>
      <w:r w:rsidR="006826EA">
        <w:instrText xml:space="preserve"> SEQ Equation \* ARABIC </w:instrText>
      </w:r>
      <w:r w:rsidR="006826EA">
        <w:fldChar w:fldCharType="separate"/>
      </w:r>
      <w:r>
        <w:rPr>
          <w:noProof/>
        </w:rPr>
        <w:t>3</w:t>
      </w:r>
      <w:r w:rsidR="006826EA">
        <w:rPr>
          <w:noProof/>
        </w:rPr>
        <w:fldChar w:fldCharType="end"/>
      </w:r>
      <w:r>
        <w:tab/>
      </w:r>
      <w:r w:rsidR="00050A6C" w:rsidRPr="00116DE1">
        <w:rPr>
          <w:position w:val="-32"/>
        </w:rPr>
        <w:object w:dxaOrig="5460" w:dyaOrig="859">
          <v:shape id="_x0000_i1044" type="#_x0000_t75" style="width:273pt;height:42.75pt" o:ole="">
            <v:imagedata r:id="rId44" o:title=""/>
          </v:shape>
          <o:OLEObject Type="Embed" ProgID="Equation.3" ShapeID="_x0000_i1044" DrawAspect="Content" ObjectID="_1504632234" r:id="rId45"/>
        </w:object>
      </w:r>
    </w:p>
    <w:p w:rsidR="007451D9" w:rsidRDefault="001F103D" w:rsidP="0081126A">
      <w:r>
        <w:t xml:space="preserve">where </w:t>
      </w:r>
      <w:r w:rsidRPr="00116DE1">
        <w:rPr>
          <w:position w:val="-12"/>
        </w:rPr>
        <w:object w:dxaOrig="4959" w:dyaOrig="380">
          <v:shape id="_x0000_i1045" type="#_x0000_t75" style="width:247.5pt;height:18.75pt" o:ole="">
            <v:imagedata r:id="rId46" o:title=""/>
          </v:shape>
          <o:OLEObject Type="Embed" ProgID="Equation.3" ShapeID="_x0000_i1045" DrawAspect="Content" ObjectID="_1504632235" r:id="rId47"/>
        </w:object>
      </w:r>
      <w:r>
        <w:t xml:space="preserve"> and for simplicity we have ignored the effects of the channel and noise at the receiver. The relationship between time </w:t>
      </w:r>
      <w:r w:rsidRPr="00E47F44">
        <w:rPr>
          <w:position w:val="-6"/>
        </w:rPr>
        <w:object w:dxaOrig="139" w:dyaOrig="240">
          <v:shape id="_x0000_i1046" type="#_x0000_t75" style="width:6.75pt;height:12pt" o:ole="">
            <v:imagedata r:id="rId48" o:title=""/>
          </v:shape>
          <o:OLEObject Type="Embed" ProgID="Equation.3" ShapeID="_x0000_i1046" DrawAspect="Content" ObjectID="_1504632236" r:id="rId49"/>
        </w:object>
      </w:r>
      <w:r>
        <w:t xml:space="preserve"> and symbol </w:t>
      </w:r>
      <w:r w:rsidRPr="00C12953">
        <w:rPr>
          <w:position w:val="-6"/>
        </w:rPr>
        <w:object w:dxaOrig="139" w:dyaOrig="260">
          <v:shape id="_x0000_i1047" type="#_x0000_t75" style="width:6.75pt;height:12.75pt" o:ole="">
            <v:imagedata r:id="rId50" o:title=""/>
          </v:shape>
          <o:OLEObject Type="Embed" ProgID="Equation.3" ShapeID="_x0000_i1047" DrawAspect="Content" ObjectID="_1504632237" r:id="rId51"/>
        </w:object>
      </w:r>
      <w:r>
        <w:t xml:space="preserve"> are the same as defined </w:t>
      </w:r>
      <w:r w:rsidR="00CF2E43">
        <w:t>for Eq. 1</w:t>
      </w:r>
      <w:r>
        <w:t xml:space="preserve">. </w:t>
      </w:r>
    </w:p>
    <w:p w:rsidR="007451D9" w:rsidRDefault="007451D9" w:rsidP="00433861">
      <w:r>
        <w:t xml:space="preserve">It is critical to remove the complex exponential </w:t>
      </w:r>
      <w:r w:rsidRPr="00F92A23">
        <w:rPr>
          <w:position w:val="-6"/>
        </w:rPr>
        <w:object w:dxaOrig="960" w:dyaOrig="320">
          <v:shape id="_x0000_i1048" type="#_x0000_t75" style="width:48pt;height:15.75pt" o:ole="">
            <v:imagedata r:id="rId52" o:title=""/>
          </v:shape>
          <o:OLEObject Type="Embed" ProgID="Equation.3" ShapeID="_x0000_i1048" DrawAspect="Content" ObjectID="_1504632238" r:id="rId53"/>
        </w:object>
      </w:r>
      <w:r>
        <w:t xml:space="preserve"> from the signal above, as the receiver expects the symbol phases to change relatively slowly over time. This allows the receiver to perform channel estimation across multiple reference symbols and to use it to compensate for the unknown </w:t>
      </w:r>
      <w:r w:rsidR="00433861">
        <w:t>SC-FDMA</w:t>
      </w:r>
      <w:r>
        <w:t xml:space="preserve"> symbol phase offset during demodulation. Performing channel estimation across multiple reference symbols becomes impossible, however, when phase discontinuity between symbols is created because of the abovementioned extra complex exponential (caused by the difference between the Rel. 13 transmit carrier frequency and the eNodeB down-conversion </w:t>
      </w:r>
      <w:r w:rsidR="008B0438">
        <w:t xml:space="preserve">legacy </w:t>
      </w:r>
      <w:r>
        <w:t>carrier frequency).</w:t>
      </w:r>
    </w:p>
    <w:p w:rsidR="007451D9" w:rsidRDefault="007451D9" w:rsidP="007451D9">
      <w:r>
        <w:t>The straightforward approach to eliminate this exponential and</w:t>
      </w:r>
      <w:r w:rsidR="001F103D">
        <w:t xml:space="preserve"> to extract the original transmitted baseband signal, would be to multiply the received signal by </w:t>
      </w:r>
      <w:r w:rsidR="001F103D" w:rsidRPr="00E47F44">
        <w:rPr>
          <w:position w:val="-6"/>
        </w:rPr>
        <w:object w:dxaOrig="1060" w:dyaOrig="320">
          <v:shape id="_x0000_i1049" type="#_x0000_t75" style="width:53.25pt;height:15.75pt" o:ole="">
            <v:imagedata r:id="rId54" o:title=""/>
          </v:shape>
          <o:OLEObject Type="Embed" ProgID="Equation.3" ShapeID="_x0000_i1049" DrawAspect="Content" ObjectID="_1504632239" r:id="rId55"/>
        </w:object>
      </w:r>
      <w:r w:rsidR="001F103D">
        <w:t xml:space="preserve"> before applying the FFT used for OFDM demodulation. The difficulty with this is that one would need to apply a separate FFT for each UE, as </w:t>
      </w:r>
      <w:r w:rsidR="001F103D" w:rsidRPr="0068737F">
        <w:rPr>
          <w:position w:val="-6"/>
          <w:sz w:val="10"/>
          <w:szCs w:val="10"/>
        </w:rPr>
        <w:object w:dxaOrig="340" w:dyaOrig="279">
          <v:shape id="_x0000_i1050" type="#_x0000_t75" style="width:16.5pt;height:14.25pt" o:ole="">
            <v:imagedata r:id="rId56" o:title=""/>
          </v:shape>
          <o:OLEObject Type="Embed" ProgID="Equation.3" ShapeID="_x0000_i1050" DrawAspect="Content" ObjectID="_1504632240" r:id="rId57"/>
        </w:object>
      </w:r>
      <w:r w:rsidR="001F103D">
        <w:t xml:space="preserve"> is UE-specific. </w:t>
      </w:r>
    </w:p>
    <w:p w:rsidR="001F103D" w:rsidRDefault="001F103D" w:rsidP="007451D9">
      <w:r>
        <w:t>An alternative receiver implementation can be seen after some mathematical manipulation:</w:t>
      </w:r>
    </w:p>
    <w:p w:rsidR="001F103D" w:rsidRDefault="001F103D" w:rsidP="001F103D">
      <w:pPr>
        <w:pStyle w:val="Caption"/>
      </w:pPr>
      <w:r>
        <w:t xml:space="preserve">Equation </w:t>
      </w:r>
      <w:r w:rsidR="006826EA">
        <w:fldChar w:fldCharType="begin"/>
      </w:r>
      <w:r w:rsidR="006826EA">
        <w:instrText xml:space="preserve"> SEQ Equation \* ARABIC </w:instrText>
      </w:r>
      <w:r w:rsidR="006826EA">
        <w:fldChar w:fldCharType="separate"/>
      </w:r>
      <w:r w:rsidR="007451D9">
        <w:rPr>
          <w:noProof/>
        </w:rPr>
        <w:t>3</w:t>
      </w:r>
      <w:r w:rsidR="006826EA">
        <w:rPr>
          <w:noProof/>
        </w:rPr>
        <w:fldChar w:fldCharType="end"/>
      </w:r>
      <w:r>
        <w:tab/>
      </w:r>
      <w:r w:rsidR="00050A6C" w:rsidRPr="007C4B27">
        <w:rPr>
          <w:position w:val="-148"/>
        </w:rPr>
        <w:object w:dxaOrig="7040" w:dyaOrig="3080">
          <v:shape id="_x0000_i1051" type="#_x0000_t75" style="width:351.75pt;height:154.5pt" o:ole="">
            <v:imagedata r:id="rId58" o:title=""/>
          </v:shape>
          <o:OLEObject Type="Embed" ProgID="Equation.3" ShapeID="_x0000_i1051" DrawAspect="Content" ObjectID="_1504632241" r:id="rId59"/>
        </w:object>
      </w:r>
    </w:p>
    <w:p w:rsidR="001F103D" w:rsidRDefault="001F103D" w:rsidP="00CF2E43">
      <w:r>
        <w:lastRenderedPageBreak/>
        <w:t xml:space="preserve">where </w:t>
      </w:r>
      <w:r w:rsidRPr="00D17687">
        <w:rPr>
          <w:position w:val="-10"/>
        </w:rPr>
        <w:object w:dxaOrig="1939" w:dyaOrig="380">
          <v:shape id="_x0000_i1052" type="#_x0000_t75" style="width:97.5pt;height:18.75pt" o:ole="">
            <v:imagedata r:id="rId60" o:title=""/>
          </v:shape>
          <o:OLEObject Type="Embed" ProgID="Equation.3" ShapeID="_x0000_i1052" DrawAspect="Content" ObjectID="_1504632242" r:id="rId61"/>
        </w:object>
      </w:r>
    </w:p>
    <w:p w:rsidR="001F103D" w:rsidRDefault="001F103D" w:rsidP="001F103D">
      <w:pPr>
        <w:pStyle w:val="Caption"/>
      </w:pPr>
      <w:bookmarkStart w:id="5" w:name="_Ref424055991"/>
      <w:r>
        <w:t xml:space="preserve">Equation </w:t>
      </w:r>
      <w:r w:rsidR="006826EA">
        <w:fldChar w:fldCharType="begin"/>
      </w:r>
      <w:r w:rsidR="006826EA">
        <w:instrText xml:space="preserve"> SEQ Equation \* ARABIC </w:instrText>
      </w:r>
      <w:r w:rsidR="006826EA">
        <w:fldChar w:fldCharType="separate"/>
      </w:r>
      <w:r w:rsidR="00D0796D">
        <w:rPr>
          <w:noProof/>
        </w:rPr>
        <w:t>4</w:t>
      </w:r>
      <w:r w:rsidR="006826EA">
        <w:rPr>
          <w:noProof/>
        </w:rPr>
        <w:fldChar w:fldCharType="end"/>
      </w:r>
      <w:bookmarkEnd w:id="5"/>
      <w:r>
        <w:tab/>
      </w:r>
      <w:r w:rsidRPr="008D3269">
        <w:rPr>
          <w:position w:val="-14"/>
        </w:rPr>
        <w:object w:dxaOrig="4760" w:dyaOrig="680">
          <v:shape id="_x0000_i1053" type="#_x0000_t75" style="width:237.75pt;height:33.75pt" o:ole="">
            <v:imagedata r:id="rId62" o:title=""/>
          </v:shape>
          <o:OLEObject Type="Embed" ProgID="Equation.3" ShapeID="_x0000_i1053" DrawAspect="Content" ObjectID="_1504632243" r:id="rId63"/>
        </w:object>
      </w:r>
    </w:p>
    <w:p w:rsidR="007451D9" w:rsidRDefault="001F103D" w:rsidP="00433861">
      <w:r>
        <w:t xml:space="preserve">and the range of the summation index </w:t>
      </w:r>
      <w:r w:rsidRPr="007C4B27">
        <w:rPr>
          <w:position w:val="-6"/>
        </w:rPr>
        <w:object w:dxaOrig="200" w:dyaOrig="340">
          <v:shape id="_x0000_i1054" type="#_x0000_t75" style="width:10.5pt;height:16.5pt" o:ole="">
            <v:imagedata r:id="rId64" o:title=""/>
          </v:shape>
          <o:OLEObject Type="Embed" ProgID="Equation.3" ShapeID="_x0000_i1054" DrawAspect="Content" ObjectID="_1504632244" r:id="rId65"/>
        </w:object>
      </w:r>
      <w:r>
        <w:t xml:space="preserve"> now depends on </w:t>
      </w:r>
      <w:r w:rsidR="007451D9">
        <w:t xml:space="preserve">integer </w:t>
      </w:r>
      <w:r w:rsidRPr="0011363B">
        <w:rPr>
          <w:position w:val="-6"/>
        </w:rPr>
        <w:object w:dxaOrig="340" w:dyaOrig="279">
          <v:shape id="_x0000_i1055" type="#_x0000_t75" style="width:16.5pt;height:14.25pt" o:ole="">
            <v:imagedata r:id="rId66" o:title=""/>
          </v:shape>
          <o:OLEObject Type="Embed" ProgID="Equation.3" ShapeID="_x0000_i1055" DrawAspect="Content" ObjectID="_1504632245" r:id="rId67"/>
        </w:object>
      </w:r>
      <w:r>
        <w:t xml:space="preserve">. Thus, </w:t>
      </w:r>
      <w:r w:rsidR="007451D9">
        <w:t xml:space="preserve">we see from Eq. 3 that the </w:t>
      </w:r>
      <w:r>
        <w:t xml:space="preserve">demodulation of the received signal with any </w:t>
      </w:r>
      <w:r w:rsidR="00CF2E43" w:rsidRPr="0011363B">
        <w:rPr>
          <w:position w:val="-6"/>
        </w:rPr>
        <w:object w:dxaOrig="340" w:dyaOrig="279">
          <v:shape id="_x0000_i1056" type="#_x0000_t75" style="width:16.5pt;height:14.25pt" o:ole="">
            <v:imagedata r:id="rId68" o:title=""/>
          </v:shape>
          <o:OLEObject Type="Embed" ProgID="Equation.3" ShapeID="_x0000_i1056" DrawAspect="Content" ObjectID="_1504632246" r:id="rId69"/>
        </w:object>
      </w:r>
      <w:r>
        <w:t>can be performed by a single (</w:t>
      </w:r>
      <w:r w:rsidRPr="0011363B">
        <w:rPr>
          <w:position w:val="-6"/>
        </w:rPr>
        <w:object w:dxaOrig="340" w:dyaOrig="279">
          <v:shape id="_x0000_i1057" type="#_x0000_t75" style="width:16.5pt;height:14.25pt" o:ole="">
            <v:imagedata r:id="rId70" o:title=""/>
          </v:shape>
          <o:OLEObject Type="Embed" ProgID="Equation.3" ShapeID="_x0000_i1057" DrawAspect="Content" ObjectID="_1504632247" r:id="rId71"/>
        </w:object>
      </w:r>
      <w:r>
        <w:t>-independent) FFT provided its size is large enough</w:t>
      </w:r>
      <w:r w:rsidR="007451D9">
        <w:t xml:space="preserve"> (to cover all </w:t>
      </w:r>
      <w:r w:rsidR="007451D9" w:rsidRPr="007C4B27">
        <w:rPr>
          <w:position w:val="-6"/>
        </w:rPr>
        <w:object w:dxaOrig="200" w:dyaOrig="340">
          <v:shape id="_x0000_i1058" type="#_x0000_t75" style="width:10.5pt;height:16.5pt" o:ole="">
            <v:imagedata r:id="rId64" o:title=""/>
          </v:shape>
          <o:OLEObject Type="Embed" ProgID="Equation.3" ShapeID="_x0000_i1058" DrawAspect="Content" ObjectID="_1504632248" r:id="rId72"/>
        </w:object>
      </w:r>
      <w:r w:rsidR="007451D9">
        <w:t>)</w:t>
      </w:r>
      <w:r>
        <w:t xml:space="preserve">, for </w:t>
      </w:r>
      <w:r w:rsidR="007451D9">
        <w:t>example</w:t>
      </w:r>
      <w:r>
        <w:t xml:space="preserve"> </w:t>
      </w:r>
      <w:r>
        <w:rPr>
          <w:i/>
          <w:iCs/>
        </w:rPr>
        <w:t>N</w:t>
      </w:r>
      <w:r>
        <w:t xml:space="preserve">. </w:t>
      </w:r>
      <w:r w:rsidR="007451D9">
        <w:t xml:space="preserve">All that remains is to compensate for the phase </w:t>
      </w:r>
      <w:r w:rsidR="007451D9" w:rsidRPr="00E47F44">
        <w:rPr>
          <w:position w:val="-14"/>
        </w:rPr>
        <w:object w:dxaOrig="520" w:dyaOrig="400">
          <v:shape id="_x0000_i1059" type="#_x0000_t75" style="width:26.25pt;height:20.25pt" o:ole="">
            <v:imagedata r:id="rId73" o:title=""/>
          </v:shape>
          <o:OLEObject Type="Embed" ProgID="Equation.3" ShapeID="_x0000_i1059" DrawAspect="Content" ObjectID="_1504632249" r:id="rId74"/>
        </w:object>
      </w:r>
      <w:r w:rsidR="007451D9">
        <w:t xml:space="preserve"> introduced for each </w:t>
      </w:r>
      <w:r w:rsidR="00433861">
        <w:t>SC-FDMA</w:t>
      </w:r>
      <w:r w:rsidR="007451D9">
        <w:t xml:space="preserve"> symbol</w:t>
      </w:r>
      <w:r w:rsidR="007451D9" w:rsidRPr="007451D9">
        <w:t xml:space="preserve"> </w:t>
      </w:r>
      <w:r w:rsidR="007451D9">
        <w:rPr>
          <w:i/>
          <w:iCs/>
        </w:rPr>
        <w:t>l</w:t>
      </w:r>
      <w:r w:rsidR="007451D9">
        <w:t>, and separately for each Narrowband Rel. 13 MTC transmitted signal with a different carrier frequency shift</w:t>
      </w:r>
      <w:r w:rsidR="0081126A">
        <w:t xml:space="preserve"> </w:t>
      </w:r>
      <w:r w:rsidR="007451D9" w:rsidRPr="008D3269">
        <w:rPr>
          <w:position w:val="-10"/>
        </w:rPr>
        <w:object w:dxaOrig="740" w:dyaOrig="320">
          <v:shape id="_x0000_i1060" type="#_x0000_t75" style="width:36.75pt;height:15.75pt" o:ole="">
            <v:imagedata r:id="rId75" o:title=""/>
          </v:shape>
          <o:OLEObject Type="Embed" ProgID="Equation.3" ShapeID="_x0000_i1060" DrawAspect="Content" ObjectID="_1504632250" r:id="rId76"/>
        </w:object>
      </w:r>
      <w:r w:rsidR="007451D9">
        <w:t>.</w:t>
      </w:r>
      <w:r w:rsidR="00D0796D">
        <w:t xml:space="preserve"> In addition, since the sum of all CP samples over a subframe is always an integer multiple of the symbol time (1 for normal CP and 3 for extended CP) it can be shown that the phases repeat each subframe.</w:t>
      </w:r>
    </w:p>
    <w:p w:rsidR="001F103D" w:rsidRDefault="001F103D" w:rsidP="00433861">
      <w:r>
        <w:t xml:space="preserve">Using the approach just described, the eNodeB can down-convert the composite received signal using the </w:t>
      </w:r>
      <w:r w:rsidR="008B0438">
        <w:t xml:space="preserve">legacy </w:t>
      </w:r>
      <w:r>
        <w:t xml:space="preserve">carrier frequency </w:t>
      </w:r>
      <w:r w:rsidRPr="00E47F44">
        <w:rPr>
          <w:position w:val="-12"/>
        </w:rPr>
        <w:object w:dxaOrig="279" w:dyaOrig="360">
          <v:shape id="_x0000_i1061" type="#_x0000_t75" style="width:14.25pt;height:18pt" o:ole="">
            <v:imagedata r:id="rId9" o:title=""/>
          </v:shape>
          <o:OLEObject Type="Embed" ProgID="Equation.3" ShapeID="_x0000_i1061" DrawAspect="Content" ObjectID="_1504632251" r:id="rId77"/>
        </w:object>
      </w:r>
      <w:r>
        <w:t xml:space="preserve">, apply a single FFT whose size covers the entire system bandwidth, and then apply the appropriate phase correction per </w:t>
      </w:r>
      <w:r w:rsidR="00433861">
        <w:t>SC-FDMA</w:t>
      </w:r>
      <w:r>
        <w:t xml:space="preserve"> symbol to the subcarriers allocated for each </w:t>
      </w:r>
      <w:r w:rsidR="007451D9">
        <w:t>Rel. 13 MTC</w:t>
      </w:r>
      <w:r>
        <w:t xml:space="preserve"> UE. </w:t>
      </w:r>
    </w:p>
    <w:p w:rsidR="007451D9" w:rsidRPr="00D0796D" w:rsidRDefault="007451D9" w:rsidP="00433861">
      <w:pPr>
        <w:rPr>
          <w:b/>
          <w:bCs/>
        </w:rPr>
      </w:pPr>
      <w:r w:rsidRPr="00D0796D">
        <w:rPr>
          <w:b/>
          <w:bCs/>
        </w:rPr>
        <w:t xml:space="preserve">Observation 1: The eNodeB can use the same down-covert carrier frequency and the same FFT that is used </w:t>
      </w:r>
      <w:r w:rsidR="00D0796D" w:rsidRPr="00D0796D">
        <w:rPr>
          <w:b/>
          <w:bCs/>
        </w:rPr>
        <w:t>to</w:t>
      </w:r>
      <w:r w:rsidRPr="00D0796D">
        <w:rPr>
          <w:b/>
          <w:bCs/>
        </w:rPr>
        <w:t xml:space="preserve"> recover</w:t>
      </w:r>
      <w:r w:rsidR="00D0796D" w:rsidRPr="00D0796D">
        <w:rPr>
          <w:b/>
          <w:bCs/>
        </w:rPr>
        <w:t xml:space="preserve"> legacy LTE signals in order to also recover the narrowband Rel. 13 MTC signals. </w:t>
      </w:r>
      <w:r w:rsidR="008B0438">
        <w:rPr>
          <w:b/>
          <w:bCs/>
        </w:rPr>
        <w:t>The receiver can compensate for the</w:t>
      </w:r>
      <w:r w:rsidR="00D0796D" w:rsidRPr="00D0796D">
        <w:rPr>
          <w:b/>
          <w:bCs/>
        </w:rPr>
        <w:t xml:space="preserve"> phase </w:t>
      </w:r>
      <w:r w:rsidR="008B0438">
        <w:rPr>
          <w:b/>
          <w:bCs/>
        </w:rPr>
        <w:t xml:space="preserve">that </w:t>
      </w:r>
      <w:r w:rsidR="00D0796D" w:rsidRPr="00D0796D">
        <w:rPr>
          <w:b/>
          <w:bCs/>
        </w:rPr>
        <w:t xml:space="preserve">is introduced for each </w:t>
      </w:r>
      <w:r w:rsidR="007E6B15">
        <w:rPr>
          <w:b/>
          <w:bCs/>
        </w:rPr>
        <w:t xml:space="preserve">MTC </w:t>
      </w:r>
      <w:r w:rsidR="00433861">
        <w:rPr>
          <w:b/>
          <w:bCs/>
        </w:rPr>
        <w:t>SC-FDMA</w:t>
      </w:r>
      <w:r w:rsidR="00D0796D" w:rsidRPr="00D0796D">
        <w:rPr>
          <w:b/>
          <w:bCs/>
        </w:rPr>
        <w:t xml:space="preserve"> symbol that depends on the symbol number within the subframe and the Narrowband location of the signal.</w:t>
      </w:r>
    </w:p>
    <w:p w:rsidR="00727576" w:rsidRDefault="00727576" w:rsidP="00727576">
      <w:pPr>
        <w:pStyle w:val="Heading1"/>
        <w:numPr>
          <w:ilvl w:val="0"/>
          <w:numId w:val="1"/>
        </w:numPr>
        <w:rPr>
          <w:color w:val="auto"/>
        </w:rPr>
      </w:pPr>
      <w:r>
        <w:rPr>
          <w:color w:val="auto"/>
        </w:rPr>
        <w:t>Transmitter-Based Compensation</w:t>
      </w:r>
    </w:p>
    <w:p w:rsidR="001F103D" w:rsidRDefault="00066AF1" w:rsidP="00433861">
      <w:r>
        <w:t xml:space="preserve">We now describe an alternative </w:t>
      </w:r>
      <w:r w:rsidR="001F103D">
        <w:t xml:space="preserve">approach that allows a legacy </w:t>
      </w:r>
      <w:r>
        <w:t>LTE</w:t>
      </w:r>
      <w:r w:rsidR="001F103D">
        <w:t xml:space="preserve"> receiver to simultaneously demodulate and detect </w:t>
      </w:r>
      <w:r>
        <w:t>narrowband MTC</w:t>
      </w:r>
      <w:r w:rsidR="001F103D">
        <w:t xml:space="preserve"> </w:t>
      </w:r>
      <w:r>
        <w:t>signals</w:t>
      </w:r>
      <w:r w:rsidR="001F103D">
        <w:t xml:space="preserve"> distributed within its system bandwidth together with legacy </w:t>
      </w:r>
      <w:r w:rsidR="00433861">
        <w:t>SC-FDMA</w:t>
      </w:r>
      <w:r w:rsidR="001F103D">
        <w:t xml:space="preserve"> </w:t>
      </w:r>
      <w:r>
        <w:t>signals</w:t>
      </w:r>
      <w:r w:rsidR="001F103D">
        <w:t xml:space="preserve"> operating over the full system bandwidth. The approach is based on the idea that the phase correction required at the receiver </w:t>
      </w:r>
      <w:r>
        <w:t xml:space="preserve">described in the </w:t>
      </w:r>
      <w:r w:rsidR="008B0438">
        <w:t>previous</w:t>
      </w:r>
      <w:r>
        <w:t xml:space="preserve"> section</w:t>
      </w:r>
      <w:r w:rsidR="001F103D">
        <w:t xml:space="preserve">, which arises from the different carrier frequencies used by the transmitters, can instead be applied at the transmitters. In this case the transmitted signal </w:t>
      </w:r>
      <w:r w:rsidR="0081126A">
        <w:t xml:space="preserve">of the </w:t>
      </w:r>
      <w:r w:rsidR="0081126A">
        <w:rPr>
          <w:i/>
          <w:iCs/>
        </w:rPr>
        <w:t>l</w:t>
      </w:r>
      <w:r w:rsidR="0081126A">
        <w:t xml:space="preserve">-th symbol </w:t>
      </w:r>
      <w:r w:rsidR="001F103D">
        <w:t>would be:</w:t>
      </w:r>
    </w:p>
    <w:p w:rsidR="001F103D" w:rsidRDefault="001F103D" w:rsidP="001F103D">
      <w:pPr>
        <w:pStyle w:val="Caption"/>
      </w:pPr>
      <w:bookmarkStart w:id="6" w:name="_Ref424039590"/>
      <w:r>
        <w:t xml:space="preserve">Equation </w:t>
      </w:r>
      <w:r w:rsidR="006826EA">
        <w:fldChar w:fldCharType="begin"/>
      </w:r>
      <w:r w:rsidR="006826EA">
        <w:instrText xml:space="preserve"> SEQ Equation \* ARABIC </w:instrText>
      </w:r>
      <w:r w:rsidR="006826EA">
        <w:fldChar w:fldCharType="separate"/>
      </w:r>
      <w:r w:rsidR="00066AF1">
        <w:rPr>
          <w:noProof/>
        </w:rPr>
        <w:t>5</w:t>
      </w:r>
      <w:r w:rsidR="006826EA">
        <w:rPr>
          <w:noProof/>
        </w:rPr>
        <w:fldChar w:fldCharType="end"/>
      </w:r>
      <w:bookmarkEnd w:id="6"/>
      <w:r>
        <w:tab/>
      </w:r>
      <w:r w:rsidR="00050A6C" w:rsidRPr="002570C8">
        <w:rPr>
          <w:position w:val="-46"/>
        </w:rPr>
        <w:object w:dxaOrig="6820" w:dyaOrig="1040">
          <v:shape id="_x0000_i1062" type="#_x0000_t75" style="width:340.5pt;height:51.75pt" o:ole="">
            <v:imagedata r:id="rId78" o:title=""/>
          </v:shape>
          <o:OLEObject Type="Embed" ProgID="Equation.3" ShapeID="_x0000_i1062" DrawAspect="Content" ObjectID="_1504632252" r:id="rId79"/>
        </w:object>
      </w:r>
    </w:p>
    <w:p w:rsidR="001F103D" w:rsidRDefault="001F103D" w:rsidP="0081126A">
      <w:r>
        <w:t xml:space="preserve">The phase correction </w:t>
      </w:r>
      <w:r w:rsidRPr="00E47F44">
        <w:rPr>
          <w:position w:val="-14"/>
        </w:rPr>
        <w:object w:dxaOrig="520" w:dyaOrig="400">
          <v:shape id="_x0000_i1063" type="#_x0000_t75" style="width:26.25pt;height:20.25pt" o:ole="">
            <v:imagedata r:id="rId80" o:title=""/>
          </v:shape>
          <o:OLEObject Type="Embed" ProgID="Equation.3" ShapeID="_x0000_i1063" DrawAspect="Content" ObjectID="_1504632253" r:id="rId81"/>
        </w:object>
      </w:r>
      <w:r>
        <w:t xml:space="preserve"> – applied to all the subcarriers in the sum – exactly compensates for the exponential factor arising at the receiver due to the carrier frequency difference </w:t>
      </w:r>
      <w:r w:rsidR="008B0438">
        <w:t>relative to the transmitter</w:t>
      </w:r>
      <w:r>
        <w:t>, as described above. A block diagram describing this approach is shown in Figure 1. A</w:t>
      </w:r>
      <w:r w:rsidR="00066AF1">
        <w:t>n</w:t>
      </w:r>
      <w:r>
        <w:t xml:space="preserve"> IFFT </w:t>
      </w:r>
      <w:r w:rsidR="00066AF1">
        <w:t xml:space="preserve">of size 128 </w:t>
      </w:r>
      <w:r>
        <w:t xml:space="preserve">can be used by each </w:t>
      </w:r>
      <w:r w:rsidR="00066AF1">
        <w:t xml:space="preserve">Rel. 13 MTC </w:t>
      </w:r>
      <w:r>
        <w:t xml:space="preserve">transmitter operating within a </w:t>
      </w:r>
      <w:r w:rsidR="0081126A">
        <w:t xml:space="preserve">6-PRB </w:t>
      </w:r>
      <w:r w:rsidR="00066AF1">
        <w:t>Narrowband</w:t>
      </w:r>
      <w:r>
        <w:t xml:space="preserve"> to generate its signal. The carrier frequency for each device will be based on its currently allocated </w:t>
      </w:r>
      <w:r w:rsidR="00066AF1">
        <w:t>Narrowband</w:t>
      </w:r>
      <w:r>
        <w:t xml:space="preserve">, centered around </w:t>
      </w:r>
      <w:r w:rsidRPr="008D3269">
        <w:rPr>
          <w:position w:val="-12"/>
          <w:sz w:val="10"/>
          <w:szCs w:val="10"/>
        </w:rPr>
        <w:object w:dxaOrig="1200" w:dyaOrig="360">
          <v:shape id="_x0000_i1064" type="#_x0000_t75" style="width:60pt;height:18pt" o:ole="">
            <v:imagedata r:id="rId82" o:title=""/>
          </v:shape>
          <o:OLEObject Type="Embed" ProgID="Equation.3" ShapeID="_x0000_i1064" DrawAspect="Content" ObjectID="_1504632254" r:id="rId83"/>
        </w:object>
      </w:r>
      <w:r>
        <w:t xml:space="preserve">, where </w:t>
      </w:r>
      <w:r w:rsidRPr="00E47F44">
        <w:rPr>
          <w:position w:val="-12"/>
        </w:rPr>
        <w:object w:dxaOrig="279" w:dyaOrig="360">
          <v:shape id="_x0000_i1065" type="#_x0000_t75" style="width:14.25pt;height:18pt" o:ole="">
            <v:imagedata r:id="rId84" o:title=""/>
          </v:shape>
          <o:OLEObject Type="Embed" ProgID="Equation.3" ShapeID="_x0000_i1065" DrawAspect="Content" ObjectID="_1504632255" r:id="rId85"/>
        </w:object>
      </w:r>
      <w:r>
        <w:t xml:space="preserve"> is the carrier frequency of the full system bandwidth. Using this approach, an LTE eNodeB receiver would be able to detect all </w:t>
      </w:r>
      <w:r w:rsidR="008B0438">
        <w:t>narrowband MTC</w:t>
      </w:r>
      <w:r>
        <w:t xml:space="preserve"> UEs exactly as it currently detects </w:t>
      </w:r>
      <w:r w:rsidR="008B0438">
        <w:t>legacy</w:t>
      </w:r>
      <w:r>
        <w:t xml:space="preserve"> LTE UEs. Thus a major advantage of this approach is that the basic eNodeB low-level receiver does not need to be changed to support </w:t>
      </w:r>
      <w:r w:rsidR="008B0438">
        <w:t>Rel. 13 MTC</w:t>
      </w:r>
      <w:r>
        <w:t xml:space="preserve"> UEs operating at different carrier frequencies. In particular, the eNodeB low-level receiver can operate without any</w:t>
      </w:r>
      <w:r w:rsidR="008B0438">
        <w:t xml:space="preserve"> knowledge of the existence and</w:t>
      </w:r>
      <w:r>
        <w:t xml:space="preserve"> sub-carrier allocation of these </w:t>
      </w:r>
      <w:r w:rsidR="008B0438">
        <w:t>narrowband</w:t>
      </w:r>
      <w:r>
        <w:t xml:space="preserve"> UEs.</w:t>
      </w:r>
    </w:p>
    <w:p w:rsidR="001F103D" w:rsidRDefault="001F103D" w:rsidP="00433861">
      <w:r>
        <w:lastRenderedPageBreak/>
        <w:t xml:space="preserve">We note that in the diagram below the phase correction </w:t>
      </w:r>
      <w:r w:rsidRPr="00E47F44">
        <w:rPr>
          <w:position w:val="-14"/>
        </w:rPr>
        <w:object w:dxaOrig="520" w:dyaOrig="400">
          <v:shape id="_x0000_i1066" type="#_x0000_t75" style="width:26.25pt;height:20.25pt" o:ole="">
            <v:imagedata r:id="rId80" o:title=""/>
          </v:shape>
          <o:OLEObject Type="Embed" ProgID="Equation.3" ShapeID="_x0000_i1066" DrawAspect="Content" ObjectID="_1504632256" r:id="rId86"/>
        </w:object>
      </w:r>
      <w:r>
        <w:t xml:space="preserve">is applied to the time-domain samples at the output of the IFFT. Alternatively, it can be applied to the frequency-domain symbols at the input to the IFFT. The same phase correction is applied to all symbols associated with a particular </w:t>
      </w:r>
      <w:r w:rsidR="00433861">
        <w:t>SC-FDMA</w:t>
      </w:r>
      <w:r>
        <w:t xml:space="preserve"> symbol (i.e., over all its subcarriers).</w:t>
      </w:r>
    </w:p>
    <w:p w:rsidR="008B0438" w:rsidRDefault="008B0438" w:rsidP="00F90899"/>
    <w:p w:rsidR="001F103D" w:rsidRDefault="001F103D" w:rsidP="001F103D">
      <w:pPr>
        <w:ind w:right="-72"/>
        <w:jc w:val="both"/>
      </w:pPr>
      <w:r>
        <w:object w:dxaOrig="9616" w:dyaOrig="4736">
          <v:shape id="_x0000_i1067" type="#_x0000_t75" style="width:460.5pt;height:226.5pt" o:ole="">
            <v:imagedata r:id="rId87" o:title=""/>
          </v:shape>
          <o:OLEObject Type="Embed" ProgID="" ShapeID="_x0000_i1067" DrawAspect="Content" ObjectID="_1504632257" r:id="rId88"/>
        </w:object>
      </w:r>
    </w:p>
    <w:p w:rsidR="001F103D" w:rsidRPr="0068737F" w:rsidRDefault="001F103D" w:rsidP="00237DC4">
      <w:pPr>
        <w:pStyle w:val="Caption"/>
        <w:jc w:val="center"/>
        <w:rPr>
          <w:sz w:val="20"/>
          <w:szCs w:val="20"/>
        </w:rPr>
      </w:pPr>
      <w:r w:rsidRPr="0068737F">
        <w:rPr>
          <w:sz w:val="20"/>
          <w:szCs w:val="20"/>
        </w:rPr>
        <w:t xml:space="preserve">Figure </w:t>
      </w:r>
      <w:r w:rsidRPr="0068737F">
        <w:rPr>
          <w:sz w:val="20"/>
          <w:szCs w:val="20"/>
        </w:rPr>
        <w:fldChar w:fldCharType="begin"/>
      </w:r>
      <w:r w:rsidRPr="0068737F">
        <w:rPr>
          <w:sz w:val="20"/>
          <w:szCs w:val="20"/>
        </w:rPr>
        <w:instrText xml:space="preserve"> SEQ Figure \* ARABIC </w:instrText>
      </w:r>
      <w:r w:rsidRPr="0068737F">
        <w:rPr>
          <w:sz w:val="20"/>
          <w:szCs w:val="20"/>
        </w:rPr>
        <w:fldChar w:fldCharType="separate"/>
      </w:r>
      <w:r>
        <w:rPr>
          <w:noProof/>
          <w:sz w:val="20"/>
          <w:szCs w:val="20"/>
        </w:rPr>
        <w:t>1</w:t>
      </w:r>
      <w:r w:rsidRPr="0068737F">
        <w:rPr>
          <w:noProof/>
          <w:sz w:val="20"/>
          <w:szCs w:val="20"/>
        </w:rPr>
        <w:fldChar w:fldCharType="end"/>
      </w:r>
      <w:r w:rsidRPr="0068737F">
        <w:rPr>
          <w:sz w:val="20"/>
          <w:szCs w:val="20"/>
        </w:rPr>
        <w:t xml:space="preserve"> : </w:t>
      </w:r>
      <w:r w:rsidRPr="0068737F">
        <w:rPr>
          <w:i/>
          <w:iCs/>
          <w:sz w:val="20"/>
          <w:szCs w:val="20"/>
        </w:rPr>
        <w:t xml:space="preserve">A diagram of </w:t>
      </w:r>
      <w:r w:rsidR="008B0438">
        <w:rPr>
          <w:i/>
          <w:iCs/>
          <w:sz w:val="20"/>
          <w:szCs w:val="20"/>
        </w:rPr>
        <w:t>a narrowband Rel. 13 MTC</w:t>
      </w:r>
      <w:r w:rsidRPr="0068737F">
        <w:rPr>
          <w:i/>
          <w:iCs/>
          <w:sz w:val="20"/>
          <w:szCs w:val="20"/>
        </w:rPr>
        <w:t xml:space="preserve"> transmitter and </w:t>
      </w:r>
      <w:r w:rsidR="008B0438">
        <w:rPr>
          <w:i/>
          <w:iCs/>
          <w:sz w:val="20"/>
          <w:szCs w:val="20"/>
        </w:rPr>
        <w:t xml:space="preserve">eNodeB LTE </w:t>
      </w:r>
      <w:r w:rsidRPr="0068737F">
        <w:rPr>
          <w:i/>
          <w:iCs/>
          <w:sz w:val="20"/>
          <w:szCs w:val="20"/>
        </w:rPr>
        <w:t>receiver</w:t>
      </w:r>
      <w:r w:rsidR="00237DC4">
        <w:rPr>
          <w:i/>
          <w:iCs/>
          <w:sz w:val="20"/>
          <w:szCs w:val="20"/>
        </w:rPr>
        <w:t>,</w:t>
      </w:r>
      <w:r w:rsidR="00237DC4">
        <w:rPr>
          <w:i/>
          <w:iCs/>
          <w:sz w:val="20"/>
          <w:szCs w:val="20"/>
        </w:rPr>
        <w:br/>
      </w:r>
      <w:r w:rsidR="008B0438">
        <w:rPr>
          <w:i/>
          <w:iCs/>
          <w:sz w:val="20"/>
          <w:szCs w:val="20"/>
        </w:rPr>
        <w:t>where the phase compensation factor is applied at the transmitter</w:t>
      </w:r>
      <w:r w:rsidRPr="0068737F">
        <w:rPr>
          <w:sz w:val="20"/>
          <w:szCs w:val="20"/>
        </w:rPr>
        <w:t>.</w:t>
      </w:r>
    </w:p>
    <w:p w:rsidR="00066AF1" w:rsidRDefault="00066AF1" w:rsidP="001F103D"/>
    <w:p w:rsidR="00564B3A" w:rsidRDefault="00564B3A" w:rsidP="001F103D"/>
    <w:p w:rsidR="001F103D" w:rsidRDefault="00066AF1" w:rsidP="00066AF1">
      <w:r w:rsidRPr="006E4414">
        <w:rPr>
          <w:b/>
          <w:bCs/>
        </w:rPr>
        <w:t>Proposal</w:t>
      </w:r>
      <w:r>
        <w:rPr>
          <w:b/>
          <w:bCs/>
        </w:rPr>
        <w:t xml:space="preserve"> 2</w:t>
      </w:r>
      <w:r w:rsidRPr="006E4414">
        <w:rPr>
          <w:b/>
          <w:bCs/>
        </w:rPr>
        <w:t xml:space="preserve">: </w:t>
      </w:r>
      <w:r>
        <w:rPr>
          <w:b/>
          <w:bCs/>
        </w:rPr>
        <w:t>Consider applying a phase compensation factor at the transmitter of each Rel. 13 MTC UE in order to allow the eNodeB low-level receiver to detect the signals exactly as it detects legacy LTE signals. The phase compensation factor depends on the symbol number within the subframe and the Narrowband location within the system bandwidth.</w:t>
      </w:r>
    </w:p>
    <w:p w:rsidR="00564B3A" w:rsidRDefault="00564B3A">
      <w:pPr>
        <w:spacing w:after="200" w:line="276" w:lineRule="auto"/>
        <w:rPr>
          <w:rFonts w:asciiTheme="majorHAnsi" w:eastAsiaTheme="majorEastAsia" w:hAnsiTheme="majorHAnsi" w:cstheme="majorBidi"/>
          <w:b/>
          <w:bCs/>
          <w:sz w:val="28"/>
          <w:szCs w:val="28"/>
        </w:rPr>
      </w:pPr>
      <w:r>
        <w:br w:type="page"/>
      </w:r>
    </w:p>
    <w:p w:rsidR="00F6274C" w:rsidRDefault="00F6274C" w:rsidP="00F6274C">
      <w:pPr>
        <w:pStyle w:val="Heading1"/>
        <w:numPr>
          <w:ilvl w:val="0"/>
          <w:numId w:val="1"/>
        </w:numPr>
        <w:rPr>
          <w:color w:val="auto"/>
        </w:rPr>
      </w:pPr>
      <w:r>
        <w:rPr>
          <w:color w:val="auto"/>
        </w:rPr>
        <w:lastRenderedPageBreak/>
        <w:t>Conclusion</w:t>
      </w:r>
    </w:p>
    <w:p w:rsidR="00C00F9F" w:rsidRDefault="005F06B0" w:rsidP="00A323B1">
      <w:pPr>
        <w:spacing w:after="200" w:line="276" w:lineRule="auto"/>
      </w:pPr>
      <w:r>
        <w:t>I</w:t>
      </w:r>
      <w:r w:rsidR="003B6B69">
        <w:t xml:space="preserve">n this contribution we considered </w:t>
      </w:r>
      <w:r w:rsidR="00F117C1">
        <w:t xml:space="preserve">a change to the definition of carrier frequency created by </w:t>
      </w:r>
      <w:r w:rsidR="00A323B1">
        <w:t>introduction of n</w:t>
      </w:r>
      <w:r w:rsidR="00F117C1">
        <w:t xml:space="preserve">arrowband Rel. 13 MTC UEs. </w:t>
      </w:r>
      <w:r w:rsidR="00A323B1">
        <w:t>We have made the following observations/proposals:</w:t>
      </w:r>
    </w:p>
    <w:p w:rsidR="008B0438" w:rsidRPr="006E4414" w:rsidRDefault="008B0438" w:rsidP="008B0438">
      <w:pPr>
        <w:rPr>
          <w:b/>
          <w:bCs/>
        </w:rPr>
      </w:pPr>
      <w:r w:rsidRPr="006E4414">
        <w:rPr>
          <w:b/>
          <w:bCs/>
        </w:rPr>
        <w:t xml:space="preserve">Proposal 1: The new definition of carrier frequency for </w:t>
      </w:r>
      <w:r>
        <w:rPr>
          <w:b/>
          <w:bCs/>
        </w:rPr>
        <w:t xml:space="preserve">Rel. 13 </w:t>
      </w:r>
      <w:r w:rsidRPr="006E4414">
        <w:rPr>
          <w:b/>
          <w:bCs/>
        </w:rPr>
        <w:t xml:space="preserve">MTC UEs should be clarified in the specification. </w:t>
      </w:r>
    </w:p>
    <w:p w:rsidR="008B0438" w:rsidRPr="00D0796D" w:rsidRDefault="008B0438" w:rsidP="00433861">
      <w:pPr>
        <w:rPr>
          <w:b/>
          <w:bCs/>
        </w:rPr>
      </w:pPr>
      <w:r w:rsidRPr="00D0796D">
        <w:rPr>
          <w:b/>
          <w:bCs/>
        </w:rPr>
        <w:t xml:space="preserve">Observation 1: The eNodeB can use the same down-covert carrier frequency and the same FFT that is used to recover legacy LTE signals in order to also recover the narrowband Rel. 13 MTC signals. </w:t>
      </w:r>
      <w:r>
        <w:rPr>
          <w:b/>
          <w:bCs/>
        </w:rPr>
        <w:t>The receiver can compensate for the</w:t>
      </w:r>
      <w:r w:rsidRPr="00D0796D">
        <w:rPr>
          <w:b/>
          <w:bCs/>
        </w:rPr>
        <w:t xml:space="preserve"> phase </w:t>
      </w:r>
      <w:r>
        <w:rPr>
          <w:b/>
          <w:bCs/>
        </w:rPr>
        <w:t xml:space="preserve">that </w:t>
      </w:r>
      <w:r w:rsidRPr="00D0796D">
        <w:rPr>
          <w:b/>
          <w:bCs/>
        </w:rPr>
        <w:t xml:space="preserve">is introduced for each </w:t>
      </w:r>
      <w:r>
        <w:rPr>
          <w:b/>
          <w:bCs/>
        </w:rPr>
        <w:t xml:space="preserve">MTC </w:t>
      </w:r>
      <w:r w:rsidR="00433861">
        <w:rPr>
          <w:b/>
          <w:bCs/>
        </w:rPr>
        <w:t>SC-FDMA</w:t>
      </w:r>
      <w:r w:rsidRPr="00D0796D">
        <w:rPr>
          <w:b/>
          <w:bCs/>
        </w:rPr>
        <w:t xml:space="preserve"> symbol that depends on the symbol number within the subframe and the Narrowband location of the signal.</w:t>
      </w:r>
    </w:p>
    <w:p w:rsidR="008B0438" w:rsidRDefault="008B0438" w:rsidP="008B0438">
      <w:pPr>
        <w:rPr>
          <w:b/>
          <w:bCs/>
        </w:rPr>
      </w:pPr>
      <w:r w:rsidRPr="006E4414">
        <w:rPr>
          <w:b/>
          <w:bCs/>
        </w:rPr>
        <w:t>Proposal</w:t>
      </w:r>
      <w:r>
        <w:rPr>
          <w:b/>
          <w:bCs/>
        </w:rPr>
        <w:t xml:space="preserve"> 2</w:t>
      </w:r>
      <w:r w:rsidRPr="006E4414">
        <w:rPr>
          <w:b/>
          <w:bCs/>
        </w:rPr>
        <w:t xml:space="preserve">: </w:t>
      </w:r>
      <w:r>
        <w:rPr>
          <w:b/>
          <w:bCs/>
        </w:rPr>
        <w:t>Consider applying a phase compensation factor at the transmitter of each Rel. 13 MTC UE in order to allow the eNodeB low-level receiver to detect the signals exactly as it detects legacy LTE signals. The phase compensation factor depends on the symbol number within the subframe and the Narrowband location within the system bandwidth.</w:t>
      </w:r>
    </w:p>
    <w:p w:rsidR="006E325D" w:rsidRDefault="006E325D" w:rsidP="008B0438"/>
    <w:p w:rsidR="00F6274C" w:rsidRDefault="00F6274C" w:rsidP="00F6274C">
      <w:pPr>
        <w:pStyle w:val="Heading1"/>
        <w:numPr>
          <w:ilvl w:val="0"/>
          <w:numId w:val="1"/>
        </w:numPr>
        <w:rPr>
          <w:color w:val="auto"/>
        </w:rPr>
      </w:pPr>
      <w:r>
        <w:rPr>
          <w:color w:val="auto"/>
        </w:rPr>
        <w:t>References</w:t>
      </w:r>
    </w:p>
    <w:p w:rsidR="005C76EF" w:rsidRDefault="005C76EF">
      <w:pPr>
        <w:spacing w:after="200" w:line="276" w:lineRule="auto"/>
      </w:pPr>
    </w:p>
    <w:p w:rsidR="005C76EF" w:rsidRDefault="005C76EF" w:rsidP="005C76EF">
      <w:pPr>
        <w:pStyle w:val="ListParagraph"/>
        <w:numPr>
          <w:ilvl w:val="0"/>
          <w:numId w:val="27"/>
        </w:numPr>
        <w:spacing w:after="200" w:line="276" w:lineRule="auto"/>
      </w:pPr>
      <w:r>
        <w:t>RP-150492, “Revised WID: Further LTE Physical Layer Enhancements for MTC”</w:t>
      </w:r>
    </w:p>
    <w:p w:rsidR="00066AF1" w:rsidRPr="00406E35" w:rsidRDefault="00066AF1" w:rsidP="00066AF1">
      <w:pPr>
        <w:pStyle w:val="ListParagraph"/>
        <w:numPr>
          <w:ilvl w:val="0"/>
          <w:numId w:val="27"/>
        </w:numPr>
        <w:spacing w:after="200" w:line="276" w:lineRule="auto"/>
      </w:pPr>
      <w:r>
        <w:t xml:space="preserve">3GPP TS 36.211: </w:t>
      </w:r>
      <w:r w:rsidRPr="00705AAD">
        <w:t>"Evolved Universal Terrestrial Radio Access (E-UTRA)</w:t>
      </w:r>
      <w:r>
        <w:t>:</w:t>
      </w:r>
      <w:r w:rsidRPr="00705AAD">
        <w:t xml:space="preserve"> Physical </w:t>
      </w:r>
      <w:r>
        <w:t>Channels and modulation</w:t>
      </w:r>
      <w:r w:rsidRPr="00705AAD">
        <w:t>".</w:t>
      </w:r>
    </w:p>
    <w:p w:rsidR="00066AF1" w:rsidRDefault="00066AF1" w:rsidP="00066AF1">
      <w:pPr>
        <w:spacing w:after="200" w:line="276" w:lineRule="auto"/>
      </w:pPr>
    </w:p>
    <w:p w:rsidR="00D94CAB" w:rsidRDefault="00D94CAB" w:rsidP="00D94CAB">
      <w:pPr>
        <w:spacing w:after="200" w:line="276" w:lineRule="auto"/>
      </w:pPr>
    </w:p>
    <w:p w:rsidR="00D94CAB" w:rsidRDefault="00D94CAB" w:rsidP="00D94CAB">
      <w:pPr>
        <w:spacing w:after="200" w:line="276" w:lineRule="auto"/>
      </w:pPr>
    </w:p>
    <w:sectPr w:rsidR="00D94CAB" w:rsidSect="007A1D80">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26EA" w:rsidRDefault="006826EA" w:rsidP="00C328D3">
      <w:pPr>
        <w:spacing w:after="0"/>
      </w:pPr>
      <w:r>
        <w:separator/>
      </w:r>
    </w:p>
  </w:endnote>
  <w:endnote w:type="continuationSeparator" w:id="0">
    <w:p w:rsidR="006826EA" w:rsidRDefault="006826EA" w:rsidP="00C328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26EA" w:rsidRDefault="006826EA" w:rsidP="00C328D3">
      <w:pPr>
        <w:spacing w:after="0"/>
      </w:pPr>
      <w:r>
        <w:separator/>
      </w:r>
    </w:p>
  </w:footnote>
  <w:footnote w:type="continuationSeparator" w:id="0">
    <w:p w:rsidR="006826EA" w:rsidRDefault="006826EA" w:rsidP="00C328D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B7F49"/>
    <w:multiLevelType w:val="hybridMultilevel"/>
    <w:tmpl w:val="D2BC3308"/>
    <w:lvl w:ilvl="0" w:tplc="05502ED6">
      <w:start w:val="1"/>
      <w:numFmt w:val="bullet"/>
      <w:lvlText w:val="•"/>
      <w:lvlJc w:val="left"/>
      <w:pPr>
        <w:tabs>
          <w:tab w:val="num" w:pos="360"/>
        </w:tabs>
        <w:ind w:left="360" w:hanging="360"/>
      </w:pPr>
      <w:rPr>
        <w:rFonts w:ascii="Arial" w:hAnsi="Arial" w:hint="default"/>
      </w:rPr>
    </w:lvl>
    <w:lvl w:ilvl="1" w:tplc="49B05620">
      <w:start w:val="2515"/>
      <w:numFmt w:val="bullet"/>
      <w:lvlText w:val="–"/>
      <w:lvlJc w:val="left"/>
      <w:pPr>
        <w:tabs>
          <w:tab w:val="num" w:pos="1080"/>
        </w:tabs>
        <w:ind w:left="1080" w:hanging="360"/>
      </w:pPr>
      <w:rPr>
        <w:rFonts w:ascii="Arial" w:hAnsi="Arial" w:hint="default"/>
      </w:rPr>
    </w:lvl>
    <w:lvl w:ilvl="2" w:tplc="A260D7F0" w:tentative="1">
      <w:start w:val="1"/>
      <w:numFmt w:val="bullet"/>
      <w:lvlText w:val="•"/>
      <w:lvlJc w:val="left"/>
      <w:pPr>
        <w:tabs>
          <w:tab w:val="num" w:pos="1800"/>
        </w:tabs>
        <w:ind w:left="1800" w:hanging="360"/>
      </w:pPr>
      <w:rPr>
        <w:rFonts w:ascii="Arial" w:hAnsi="Arial" w:hint="default"/>
      </w:rPr>
    </w:lvl>
    <w:lvl w:ilvl="3" w:tplc="9112FA5E" w:tentative="1">
      <w:start w:val="1"/>
      <w:numFmt w:val="bullet"/>
      <w:lvlText w:val="•"/>
      <w:lvlJc w:val="left"/>
      <w:pPr>
        <w:tabs>
          <w:tab w:val="num" w:pos="2520"/>
        </w:tabs>
        <w:ind w:left="2520" w:hanging="360"/>
      </w:pPr>
      <w:rPr>
        <w:rFonts w:ascii="Arial" w:hAnsi="Arial" w:hint="default"/>
      </w:rPr>
    </w:lvl>
    <w:lvl w:ilvl="4" w:tplc="8F646392" w:tentative="1">
      <w:start w:val="1"/>
      <w:numFmt w:val="bullet"/>
      <w:lvlText w:val="•"/>
      <w:lvlJc w:val="left"/>
      <w:pPr>
        <w:tabs>
          <w:tab w:val="num" w:pos="3240"/>
        </w:tabs>
        <w:ind w:left="3240" w:hanging="360"/>
      </w:pPr>
      <w:rPr>
        <w:rFonts w:ascii="Arial" w:hAnsi="Arial" w:hint="default"/>
      </w:rPr>
    </w:lvl>
    <w:lvl w:ilvl="5" w:tplc="58FE93B2" w:tentative="1">
      <w:start w:val="1"/>
      <w:numFmt w:val="bullet"/>
      <w:lvlText w:val="•"/>
      <w:lvlJc w:val="left"/>
      <w:pPr>
        <w:tabs>
          <w:tab w:val="num" w:pos="3960"/>
        </w:tabs>
        <w:ind w:left="3960" w:hanging="360"/>
      </w:pPr>
      <w:rPr>
        <w:rFonts w:ascii="Arial" w:hAnsi="Arial" w:hint="default"/>
      </w:rPr>
    </w:lvl>
    <w:lvl w:ilvl="6" w:tplc="AE0EE5FE" w:tentative="1">
      <w:start w:val="1"/>
      <w:numFmt w:val="bullet"/>
      <w:lvlText w:val="•"/>
      <w:lvlJc w:val="left"/>
      <w:pPr>
        <w:tabs>
          <w:tab w:val="num" w:pos="4680"/>
        </w:tabs>
        <w:ind w:left="4680" w:hanging="360"/>
      </w:pPr>
      <w:rPr>
        <w:rFonts w:ascii="Arial" w:hAnsi="Arial" w:hint="default"/>
      </w:rPr>
    </w:lvl>
    <w:lvl w:ilvl="7" w:tplc="C0E23FB2" w:tentative="1">
      <w:start w:val="1"/>
      <w:numFmt w:val="bullet"/>
      <w:lvlText w:val="•"/>
      <w:lvlJc w:val="left"/>
      <w:pPr>
        <w:tabs>
          <w:tab w:val="num" w:pos="5400"/>
        </w:tabs>
        <w:ind w:left="5400" w:hanging="360"/>
      </w:pPr>
      <w:rPr>
        <w:rFonts w:ascii="Arial" w:hAnsi="Arial" w:hint="default"/>
      </w:rPr>
    </w:lvl>
    <w:lvl w:ilvl="8" w:tplc="2046821E" w:tentative="1">
      <w:start w:val="1"/>
      <w:numFmt w:val="bullet"/>
      <w:lvlText w:val="•"/>
      <w:lvlJc w:val="left"/>
      <w:pPr>
        <w:tabs>
          <w:tab w:val="num" w:pos="6120"/>
        </w:tabs>
        <w:ind w:left="6120" w:hanging="360"/>
      </w:pPr>
      <w:rPr>
        <w:rFonts w:ascii="Arial" w:hAnsi="Arial" w:hint="default"/>
      </w:rPr>
    </w:lvl>
  </w:abstractNum>
  <w:abstractNum w:abstractNumId="1">
    <w:nsid w:val="1A736C85"/>
    <w:multiLevelType w:val="hybridMultilevel"/>
    <w:tmpl w:val="0AF233C2"/>
    <w:lvl w:ilvl="0" w:tplc="2BF822F0">
      <w:start w:val="6"/>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AF1561F"/>
    <w:multiLevelType w:val="hybridMultilevel"/>
    <w:tmpl w:val="73202942"/>
    <w:lvl w:ilvl="0" w:tplc="2BF822F0">
      <w:start w:val="6"/>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E3469C1"/>
    <w:multiLevelType w:val="hybridMultilevel"/>
    <w:tmpl w:val="A752710E"/>
    <w:lvl w:ilvl="0" w:tplc="8C448A4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6A2F41"/>
    <w:multiLevelType w:val="hybridMultilevel"/>
    <w:tmpl w:val="1FC06348"/>
    <w:lvl w:ilvl="0" w:tplc="2C52D080">
      <w:start w:val="1"/>
      <w:numFmt w:val="bullet"/>
      <w:lvlText w:val="•"/>
      <w:lvlJc w:val="left"/>
      <w:pPr>
        <w:tabs>
          <w:tab w:val="num" w:pos="360"/>
        </w:tabs>
        <w:ind w:left="360" w:hanging="360"/>
      </w:pPr>
      <w:rPr>
        <w:rFonts w:ascii="Arial" w:hAnsi="Arial" w:hint="default"/>
      </w:rPr>
    </w:lvl>
    <w:lvl w:ilvl="1" w:tplc="5E08B270">
      <w:start w:val="1863"/>
      <w:numFmt w:val="bullet"/>
      <w:lvlText w:val="–"/>
      <w:lvlJc w:val="left"/>
      <w:pPr>
        <w:tabs>
          <w:tab w:val="num" w:pos="1080"/>
        </w:tabs>
        <w:ind w:left="1080" w:hanging="360"/>
      </w:pPr>
      <w:rPr>
        <w:rFonts w:ascii="Arial" w:hAnsi="Arial" w:hint="default"/>
      </w:rPr>
    </w:lvl>
    <w:lvl w:ilvl="2" w:tplc="EC9A61FE">
      <w:start w:val="1863"/>
      <w:numFmt w:val="bullet"/>
      <w:lvlText w:val="•"/>
      <w:lvlJc w:val="left"/>
      <w:pPr>
        <w:tabs>
          <w:tab w:val="num" w:pos="1800"/>
        </w:tabs>
        <w:ind w:left="1800" w:hanging="360"/>
      </w:pPr>
      <w:rPr>
        <w:rFonts w:ascii="Arial" w:hAnsi="Arial" w:hint="default"/>
      </w:rPr>
    </w:lvl>
    <w:lvl w:ilvl="3" w:tplc="D2660A1A" w:tentative="1">
      <w:start w:val="1"/>
      <w:numFmt w:val="bullet"/>
      <w:lvlText w:val="•"/>
      <w:lvlJc w:val="left"/>
      <w:pPr>
        <w:tabs>
          <w:tab w:val="num" w:pos="2520"/>
        </w:tabs>
        <w:ind w:left="2520" w:hanging="360"/>
      </w:pPr>
      <w:rPr>
        <w:rFonts w:ascii="Arial" w:hAnsi="Arial" w:hint="default"/>
      </w:rPr>
    </w:lvl>
    <w:lvl w:ilvl="4" w:tplc="E0C68E76" w:tentative="1">
      <w:start w:val="1"/>
      <w:numFmt w:val="bullet"/>
      <w:lvlText w:val="•"/>
      <w:lvlJc w:val="left"/>
      <w:pPr>
        <w:tabs>
          <w:tab w:val="num" w:pos="3240"/>
        </w:tabs>
        <w:ind w:left="3240" w:hanging="360"/>
      </w:pPr>
      <w:rPr>
        <w:rFonts w:ascii="Arial" w:hAnsi="Arial" w:hint="default"/>
      </w:rPr>
    </w:lvl>
    <w:lvl w:ilvl="5" w:tplc="BE868E9C" w:tentative="1">
      <w:start w:val="1"/>
      <w:numFmt w:val="bullet"/>
      <w:lvlText w:val="•"/>
      <w:lvlJc w:val="left"/>
      <w:pPr>
        <w:tabs>
          <w:tab w:val="num" w:pos="3960"/>
        </w:tabs>
        <w:ind w:left="3960" w:hanging="360"/>
      </w:pPr>
      <w:rPr>
        <w:rFonts w:ascii="Arial" w:hAnsi="Arial" w:hint="default"/>
      </w:rPr>
    </w:lvl>
    <w:lvl w:ilvl="6" w:tplc="696A6B62" w:tentative="1">
      <w:start w:val="1"/>
      <w:numFmt w:val="bullet"/>
      <w:lvlText w:val="•"/>
      <w:lvlJc w:val="left"/>
      <w:pPr>
        <w:tabs>
          <w:tab w:val="num" w:pos="4680"/>
        </w:tabs>
        <w:ind w:left="4680" w:hanging="360"/>
      </w:pPr>
      <w:rPr>
        <w:rFonts w:ascii="Arial" w:hAnsi="Arial" w:hint="default"/>
      </w:rPr>
    </w:lvl>
    <w:lvl w:ilvl="7" w:tplc="30AEC8D4" w:tentative="1">
      <w:start w:val="1"/>
      <w:numFmt w:val="bullet"/>
      <w:lvlText w:val="•"/>
      <w:lvlJc w:val="left"/>
      <w:pPr>
        <w:tabs>
          <w:tab w:val="num" w:pos="5400"/>
        </w:tabs>
        <w:ind w:left="5400" w:hanging="360"/>
      </w:pPr>
      <w:rPr>
        <w:rFonts w:ascii="Arial" w:hAnsi="Arial" w:hint="default"/>
      </w:rPr>
    </w:lvl>
    <w:lvl w:ilvl="8" w:tplc="F252D3B4" w:tentative="1">
      <w:start w:val="1"/>
      <w:numFmt w:val="bullet"/>
      <w:lvlText w:val="•"/>
      <w:lvlJc w:val="left"/>
      <w:pPr>
        <w:tabs>
          <w:tab w:val="num" w:pos="6120"/>
        </w:tabs>
        <w:ind w:left="6120" w:hanging="360"/>
      </w:pPr>
      <w:rPr>
        <w:rFonts w:ascii="Arial" w:hAnsi="Arial" w:hint="default"/>
      </w:rPr>
    </w:lvl>
  </w:abstractNum>
  <w:abstractNum w:abstractNumId="5">
    <w:nsid w:val="2140593A"/>
    <w:multiLevelType w:val="hybridMultilevel"/>
    <w:tmpl w:val="973C75F0"/>
    <w:lvl w:ilvl="0" w:tplc="D9C60266">
      <w:start w:val="1"/>
      <w:numFmt w:val="bullet"/>
      <w:lvlText w:val="•"/>
      <w:lvlJc w:val="left"/>
      <w:pPr>
        <w:tabs>
          <w:tab w:val="num" w:pos="720"/>
        </w:tabs>
        <w:ind w:left="720" w:hanging="360"/>
      </w:pPr>
      <w:rPr>
        <w:rFonts w:ascii="Arial" w:hAnsi="Arial" w:hint="default"/>
      </w:rPr>
    </w:lvl>
    <w:lvl w:ilvl="1" w:tplc="44DADC1E">
      <w:start w:val="2246"/>
      <w:numFmt w:val="bullet"/>
      <w:lvlText w:val="–"/>
      <w:lvlJc w:val="left"/>
      <w:pPr>
        <w:tabs>
          <w:tab w:val="num" w:pos="1440"/>
        </w:tabs>
        <w:ind w:left="1440" w:hanging="360"/>
      </w:pPr>
      <w:rPr>
        <w:rFonts w:ascii="Arial" w:hAnsi="Arial" w:hint="default"/>
      </w:rPr>
    </w:lvl>
    <w:lvl w:ilvl="2" w:tplc="EA3C94DA">
      <w:start w:val="2246"/>
      <w:numFmt w:val="bullet"/>
      <w:lvlText w:val="•"/>
      <w:lvlJc w:val="left"/>
      <w:pPr>
        <w:tabs>
          <w:tab w:val="num" w:pos="2160"/>
        </w:tabs>
        <w:ind w:left="2160" w:hanging="360"/>
      </w:pPr>
      <w:rPr>
        <w:rFonts w:ascii="Arial" w:hAnsi="Arial" w:hint="default"/>
      </w:rPr>
    </w:lvl>
    <w:lvl w:ilvl="3" w:tplc="E35CD41A">
      <w:start w:val="2246"/>
      <w:numFmt w:val="bullet"/>
      <w:lvlText w:val="–"/>
      <w:lvlJc w:val="left"/>
      <w:pPr>
        <w:tabs>
          <w:tab w:val="num" w:pos="2880"/>
        </w:tabs>
        <w:ind w:left="2880" w:hanging="360"/>
      </w:pPr>
      <w:rPr>
        <w:rFonts w:ascii="Arial" w:hAnsi="Arial" w:hint="default"/>
      </w:rPr>
    </w:lvl>
    <w:lvl w:ilvl="4" w:tplc="8EDAC4EE" w:tentative="1">
      <w:start w:val="1"/>
      <w:numFmt w:val="bullet"/>
      <w:lvlText w:val="•"/>
      <w:lvlJc w:val="left"/>
      <w:pPr>
        <w:tabs>
          <w:tab w:val="num" w:pos="3600"/>
        </w:tabs>
        <w:ind w:left="3600" w:hanging="360"/>
      </w:pPr>
      <w:rPr>
        <w:rFonts w:ascii="Arial" w:hAnsi="Arial" w:hint="default"/>
      </w:rPr>
    </w:lvl>
    <w:lvl w:ilvl="5" w:tplc="9028E3EA" w:tentative="1">
      <w:start w:val="1"/>
      <w:numFmt w:val="bullet"/>
      <w:lvlText w:val="•"/>
      <w:lvlJc w:val="left"/>
      <w:pPr>
        <w:tabs>
          <w:tab w:val="num" w:pos="4320"/>
        </w:tabs>
        <w:ind w:left="4320" w:hanging="360"/>
      </w:pPr>
      <w:rPr>
        <w:rFonts w:ascii="Arial" w:hAnsi="Arial" w:hint="default"/>
      </w:rPr>
    </w:lvl>
    <w:lvl w:ilvl="6" w:tplc="08CCB57C" w:tentative="1">
      <w:start w:val="1"/>
      <w:numFmt w:val="bullet"/>
      <w:lvlText w:val="•"/>
      <w:lvlJc w:val="left"/>
      <w:pPr>
        <w:tabs>
          <w:tab w:val="num" w:pos="5040"/>
        </w:tabs>
        <w:ind w:left="5040" w:hanging="360"/>
      </w:pPr>
      <w:rPr>
        <w:rFonts w:ascii="Arial" w:hAnsi="Arial" w:hint="default"/>
      </w:rPr>
    </w:lvl>
    <w:lvl w:ilvl="7" w:tplc="FDA066F6" w:tentative="1">
      <w:start w:val="1"/>
      <w:numFmt w:val="bullet"/>
      <w:lvlText w:val="•"/>
      <w:lvlJc w:val="left"/>
      <w:pPr>
        <w:tabs>
          <w:tab w:val="num" w:pos="5760"/>
        </w:tabs>
        <w:ind w:left="5760" w:hanging="360"/>
      </w:pPr>
      <w:rPr>
        <w:rFonts w:ascii="Arial" w:hAnsi="Arial" w:hint="default"/>
      </w:rPr>
    </w:lvl>
    <w:lvl w:ilvl="8" w:tplc="40B4BCBE" w:tentative="1">
      <w:start w:val="1"/>
      <w:numFmt w:val="bullet"/>
      <w:lvlText w:val="•"/>
      <w:lvlJc w:val="left"/>
      <w:pPr>
        <w:tabs>
          <w:tab w:val="num" w:pos="6480"/>
        </w:tabs>
        <w:ind w:left="6480" w:hanging="360"/>
      </w:pPr>
      <w:rPr>
        <w:rFonts w:ascii="Arial" w:hAnsi="Arial" w:hint="default"/>
      </w:rPr>
    </w:lvl>
  </w:abstractNum>
  <w:abstractNum w:abstractNumId="6">
    <w:nsid w:val="21C40F2A"/>
    <w:multiLevelType w:val="hybridMultilevel"/>
    <w:tmpl w:val="6EFA0D5E"/>
    <w:lvl w:ilvl="0" w:tplc="8C2C09C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8C6E8B"/>
    <w:multiLevelType w:val="hybridMultilevel"/>
    <w:tmpl w:val="84C861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41A35E6"/>
    <w:multiLevelType w:val="hybridMultilevel"/>
    <w:tmpl w:val="84C861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C6C5799"/>
    <w:multiLevelType w:val="hybridMultilevel"/>
    <w:tmpl w:val="7D66410E"/>
    <w:lvl w:ilvl="0" w:tplc="E378309E">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A151FC"/>
    <w:multiLevelType w:val="hybridMultilevel"/>
    <w:tmpl w:val="DB12BE90"/>
    <w:lvl w:ilvl="0" w:tplc="2BF822F0">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DA3B02"/>
    <w:multiLevelType w:val="hybridMultilevel"/>
    <w:tmpl w:val="65D043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857184F"/>
    <w:multiLevelType w:val="hybridMultilevel"/>
    <w:tmpl w:val="0E006EFC"/>
    <w:lvl w:ilvl="0" w:tplc="EF52D79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D438EB"/>
    <w:multiLevelType w:val="hybridMultilevel"/>
    <w:tmpl w:val="94CE110C"/>
    <w:lvl w:ilvl="0" w:tplc="42CAB520">
      <w:start w:val="1"/>
      <w:numFmt w:val="bullet"/>
      <w:lvlText w:val="•"/>
      <w:lvlJc w:val="left"/>
      <w:pPr>
        <w:tabs>
          <w:tab w:val="num" w:pos="720"/>
        </w:tabs>
        <w:ind w:left="720" w:hanging="360"/>
      </w:pPr>
      <w:rPr>
        <w:rFonts w:ascii="Arial" w:hAnsi="Arial" w:hint="default"/>
      </w:rPr>
    </w:lvl>
    <w:lvl w:ilvl="1" w:tplc="317CCB0A">
      <w:start w:val="5081"/>
      <w:numFmt w:val="bullet"/>
      <w:lvlText w:val="–"/>
      <w:lvlJc w:val="left"/>
      <w:pPr>
        <w:tabs>
          <w:tab w:val="num" w:pos="1440"/>
        </w:tabs>
        <w:ind w:left="1440" w:hanging="360"/>
      </w:pPr>
      <w:rPr>
        <w:rFonts w:ascii="Arial" w:hAnsi="Arial" w:hint="default"/>
      </w:rPr>
    </w:lvl>
    <w:lvl w:ilvl="2" w:tplc="CD84FBEE">
      <w:start w:val="1"/>
      <w:numFmt w:val="bullet"/>
      <w:lvlText w:val="•"/>
      <w:lvlJc w:val="left"/>
      <w:pPr>
        <w:tabs>
          <w:tab w:val="num" w:pos="2160"/>
        </w:tabs>
        <w:ind w:left="2160" w:hanging="360"/>
      </w:pPr>
      <w:rPr>
        <w:rFonts w:ascii="Arial" w:hAnsi="Arial" w:hint="default"/>
      </w:rPr>
    </w:lvl>
    <w:lvl w:ilvl="3" w:tplc="725EE904">
      <w:start w:val="1"/>
      <w:numFmt w:val="bullet"/>
      <w:lvlText w:val="•"/>
      <w:lvlJc w:val="left"/>
      <w:pPr>
        <w:tabs>
          <w:tab w:val="num" w:pos="2880"/>
        </w:tabs>
        <w:ind w:left="2880" w:hanging="360"/>
      </w:pPr>
      <w:rPr>
        <w:rFonts w:ascii="Arial" w:hAnsi="Arial" w:hint="default"/>
      </w:rPr>
    </w:lvl>
    <w:lvl w:ilvl="4" w:tplc="E27C4E6C">
      <w:start w:val="1"/>
      <w:numFmt w:val="bullet"/>
      <w:lvlText w:val="•"/>
      <w:lvlJc w:val="left"/>
      <w:pPr>
        <w:tabs>
          <w:tab w:val="num" w:pos="3600"/>
        </w:tabs>
        <w:ind w:left="3600" w:hanging="360"/>
      </w:pPr>
      <w:rPr>
        <w:rFonts w:ascii="Arial" w:hAnsi="Arial" w:hint="default"/>
      </w:rPr>
    </w:lvl>
    <w:lvl w:ilvl="5" w:tplc="12C2EE2A" w:tentative="1">
      <w:start w:val="1"/>
      <w:numFmt w:val="bullet"/>
      <w:lvlText w:val="•"/>
      <w:lvlJc w:val="left"/>
      <w:pPr>
        <w:tabs>
          <w:tab w:val="num" w:pos="4320"/>
        </w:tabs>
        <w:ind w:left="4320" w:hanging="360"/>
      </w:pPr>
      <w:rPr>
        <w:rFonts w:ascii="Arial" w:hAnsi="Arial" w:hint="default"/>
      </w:rPr>
    </w:lvl>
    <w:lvl w:ilvl="6" w:tplc="4C1AF824" w:tentative="1">
      <w:start w:val="1"/>
      <w:numFmt w:val="bullet"/>
      <w:lvlText w:val="•"/>
      <w:lvlJc w:val="left"/>
      <w:pPr>
        <w:tabs>
          <w:tab w:val="num" w:pos="5040"/>
        </w:tabs>
        <w:ind w:left="5040" w:hanging="360"/>
      </w:pPr>
      <w:rPr>
        <w:rFonts w:ascii="Arial" w:hAnsi="Arial" w:hint="default"/>
      </w:rPr>
    </w:lvl>
    <w:lvl w:ilvl="7" w:tplc="02E0AAF6" w:tentative="1">
      <w:start w:val="1"/>
      <w:numFmt w:val="bullet"/>
      <w:lvlText w:val="•"/>
      <w:lvlJc w:val="left"/>
      <w:pPr>
        <w:tabs>
          <w:tab w:val="num" w:pos="5760"/>
        </w:tabs>
        <w:ind w:left="5760" w:hanging="360"/>
      </w:pPr>
      <w:rPr>
        <w:rFonts w:ascii="Arial" w:hAnsi="Arial" w:hint="default"/>
      </w:rPr>
    </w:lvl>
    <w:lvl w:ilvl="8" w:tplc="095C6402" w:tentative="1">
      <w:start w:val="1"/>
      <w:numFmt w:val="bullet"/>
      <w:lvlText w:val="•"/>
      <w:lvlJc w:val="left"/>
      <w:pPr>
        <w:tabs>
          <w:tab w:val="num" w:pos="6480"/>
        </w:tabs>
        <w:ind w:left="6480" w:hanging="360"/>
      </w:pPr>
      <w:rPr>
        <w:rFonts w:ascii="Arial" w:hAnsi="Arial" w:hint="default"/>
      </w:rPr>
    </w:lvl>
  </w:abstractNum>
  <w:abstractNum w:abstractNumId="14">
    <w:nsid w:val="45EF147D"/>
    <w:multiLevelType w:val="hybridMultilevel"/>
    <w:tmpl w:val="51DA96D0"/>
    <w:lvl w:ilvl="0" w:tplc="4E322A4C">
      <w:start w:val="1"/>
      <w:numFmt w:val="decimal"/>
      <w:lvlText w:val="%1."/>
      <w:lvlJc w:val="left"/>
      <w:pPr>
        <w:tabs>
          <w:tab w:val="num" w:pos="360"/>
        </w:tabs>
        <w:ind w:left="360" w:hanging="360"/>
      </w:pPr>
      <w:rPr>
        <w:rFonts w:ascii="Times New Roman" w:eastAsia="Times New Roman" w:hAnsi="Times New Roman" w:cs="Times New Roman"/>
      </w:rPr>
    </w:lvl>
    <w:lvl w:ilvl="1" w:tplc="04090019" w:tentative="1">
      <w:start w:val="1"/>
      <w:numFmt w:val="lowerLetter"/>
      <w:lvlText w:val="%2."/>
      <w:lvlJc w:val="left"/>
      <w:pPr>
        <w:tabs>
          <w:tab w:val="num" w:pos="-540"/>
        </w:tabs>
        <w:ind w:left="-540" w:hanging="360"/>
      </w:pPr>
    </w:lvl>
    <w:lvl w:ilvl="2" w:tplc="0409001B" w:tentative="1">
      <w:start w:val="1"/>
      <w:numFmt w:val="lowerRoman"/>
      <w:lvlText w:val="%3."/>
      <w:lvlJc w:val="right"/>
      <w:pPr>
        <w:tabs>
          <w:tab w:val="num" w:pos="180"/>
        </w:tabs>
        <w:ind w:left="180" w:hanging="180"/>
      </w:pPr>
    </w:lvl>
    <w:lvl w:ilvl="3" w:tplc="0409000F" w:tentative="1">
      <w:start w:val="1"/>
      <w:numFmt w:val="decimal"/>
      <w:lvlText w:val="%4."/>
      <w:lvlJc w:val="left"/>
      <w:pPr>
        <w:tabs>
          <w:tab w:val="num" w:pos="900"/>
        </w:tabs>
        <w:ind w:left="900" w:hanging="360"/>
      </w:pPr>
    </w:lvl>
    <w:lvl w:ilvl="4" w:tplc="04090019" w:tentative="1">
      <w:start w:val="1"/>
      <w:numFmt w:val="lowerLetter"/>
      <w:lvlText w:val="%5."/>
      <w:lvlJc w:val="left"/>
      <w:pPr>
        <w:tabs>
          <w:tab w:val="num" w:pos="1620"/>
        </w:tabs>
        <w:ind w:left="162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3060"/>
        </w:tabs>
        <w:ind w:left="3060" w:hanging="360"/>
      </w:pPr>
    </w:lvl>
    <w:lvl w:ilvl="7" w:tplc="04090019" w:tentative="1">
      <w:start w:val="1"/>
      <w:numFmt w:val="lowerLetter"/>
      <w:lvlText w:val="%8."/>
      <w:lvlJc w:val="left"/>
      <w:pPr>
        <w:tabs>
          <w:tab w:val="num" w:pos="3780"/>
        </w:tabs>
        <w:ind w:left="3780" w:hanging="360"/>
      </w:pPr>
    </w:lvl>
    <w:lvl w:ilvl="8" w:tplc="0409001B" w:tentative="1">
      <w:start w:val="1"/>
      <w:numFmt w:val="lowerRoman"/>
      <w:lvlText w:val="%9."/>
      <w:lvlJc w:val="right"/>
      <w:pPr>
        <w:tabs>
          <w:tab w:val="num" w:pos="4500"/>
        </w:tabs>
        <w:ind w:left="4500" w:hanging="180"/>
      </w:pPr>
    </w:lvl>
  </w:abstractNum>
  <w:abstractNum w:abstractNumId="15">
    <w:nsid w:val="474E4CB0"/>
    <w:multiLevelType w:val="hybridMultilevel"/>
    <w:tmpl w:val="A4805950"/>
    <w:lvl w:ilvl="0" w:tplc="CA50EDAA">
      <w:start w:val="1"/>
      <w:numFmt w:val="bullet"/>
      <w:lvlText w:val="•"/>
      <w:lvlJc w:val="left"/>
      <w:pPr>
        <w:tabs>
          <w:tab w:val="num" w:pos="720"/>
        </w:tabs>
        <w:ind w:left="720" w:hanging="360"/>
      </w:pPr>
      <w:rPr>
        <w:rFonts w:ascii="Arial" w:hAnsi="Arial" w:hint="default"/>
      </w:rPr>
    </w:lvl>
    <w:lvl w:ilvl="1" w:tplc="58485348">
      <w:start w:val="3747"/>
      <w:numFmt w:val="bullet"/>
      <w:lvlText w:val="–"/>
      <w:lvlJc w:val="left"/>
      <w:pPr>
        <w:tabs>
          <w:tab w:val="num" w:pos="1440"/>
        </w:tabs>
        <w:ind w:left="1440" w:hanging="360"/>
      </w:pPr>
      <w:rPr>
        <w:rFonts w:ascii="Arial" w:hAnsi="Arial" w:hint="default"/>
      </w:rPr>
    </w:lvl>
    <w:lvl w:ilvl="2" w:tplc="604A8D86">
      <w:start w:val="3747"/>
      <w:numFmt w:val="bullet"/>
      <w:lvlText w:val="•"/>
      <w:lvlJc w:val="left"/>
      <w:pPr>
        <w:tabs>
          <w:tab w:val="num" w:pos="2160"/>
        </w:tabs>
        <w:ind w:left="2160" w:hanging="360"/>
      </w:pPr>
      <w:rPr>
        <w:rFonts w:ascii="Arial" w:hAnsi="Arial" w:hint="default"/>
      </w:rPr>
    </w:lvl>
    <w:lvl w:ilvl="3" w:tplc="C12C533C" w:tentative="1">
      <w:start w:val="1"/>
      <w:numFmt w:val="bullet"/>
      <w:lvlText w:val="•"/>
      <w:lvlJc w:val="left"/>
      <w:pPr>
        <w:tabs>
          <w:tab w:val="num" w:pos="2880"/>
        </w:tabs>
        <w:ind w:left="2880" w:hanging="360"/>
      </w:pPr>
      <w:rPr>
        <w:rFonts w:ascii="Arial" w:hAnsi="Arial" w:hint="default"/>
      </w:rPr>
    </w:lvl>
    <w:lvl w:ilvl="4" w:tplc="BC9C3C9E" w:tentative="1">
      <w:start w:val="1"/>
      <w:numFmt w:val="bullet"/>
      <w:lvlText w:val="•"/>
      <w:lvlJc w:val="left"/>
      <w:pPr>
        <w:tabs>
          <w:tab w:val="num" w:pos="3600"/>
        </w:tabs>
        <w:ind w:left="3600" w:hanging="360"/>
      </w:pPr>
      <w:rPr>
        <w:rFonts w:ascii="Arial" w:hAnsi="Arial" w:hint="default"/>
      </w:rPr>
    </w:lvl>
    <w:lvl w:ilvl="5" w:tplc="0B0C1CE0" w:tentative="1">
      <w:start w:val="1"/>
      <w:numFmt w:val="bullet"/>
      <w:lvlText w:val="•"/>
      <w:lvlJc w:val="left"/>
      <w:pPr>
        <w:tabs>
          <w:tab w:val="num" w:pos="4320"/>
        </w:tabs>
        <w:ind w:left="4320" w:hanging="360"/>
      </w:pPr>
      <w:rPr>
        <w:rFonts w:ascii="Arial" w:hAnsi="Arial" w:hint="default"/>
      </w:rPr>
    </w:lvl>
    <w:lvl w:ilvl="6" w:tplc="FF9805CA" w:tentative="1">
      <w:start w:val="1"/>
      <w:numFmt w:val="bullet"/>
      <w:lvlText w:val="•"/>
      <w:lvlJc w:val="left"/>
      <w:pPr>
        <w:tabs>
          <w:tab w:val="num" w:pos="5040"/>
        </w:tabs>
        <w:ind w:left="5040" w:hanging="360"/>
      </w:pPr>
      <w:rPr>
        <w:rFonts w:ascii="Arial" w:hAnsi="Arial" w:hint="default"/>
      </w:rPr>
    </w:lvl>
    <w:lvl w:ilvl="7" w:tplc="6DF83CE8" w:tentative="1">
      <w:start w:val="1"/>
      <w:numFmt w:val="bullet"/>
      <w:lvlText w:val="•"/>
      <w:lvlJc w:val="left"/>
      <w:pPr>
        <w:tabs>
          <w:tab w:val="num" w:pos="5760"/>
        </w:tabs>
        <w:ind w:left="5760" w:hanging="360"/>
      </w:pPr>
      <w:rPr>
        <w:rFonts w:ascii="Arial" w:hAnsi="Arial" w:hint="default"/>
      </w:rPr>
    </w:lvl>
    <w:lvl w:ilvl="8" w:tplc="244268BA" w:tentative="1">
      <w:start w:val="1"/>
      <w:numFmt w:val="bullet"/>
      <w:lvlText w:val="•"/>
      <w:lvlJc w:val="left"/>
      <w:pPr>
        <w:tabs>
          <w:tab w:val="num" w:pos="6480"/>
        </w:tabs>
        <w:ind w:left="6480" w:hanging="360"/>
      </w:pPr>
      <w:rPr>
        <w:rFonts w:ascii="Arial" w:hAnsi="Arial" w:hint="default"/>
      </w:rPr>
    </w:lvl>
  </w:abstractNum>
  <w:abstractNum w:abstractNumId="16">
    <w:nsid w:val="4F886634"/>
    <w:multiLevelType w:val="hybridMultilevel"/>
    <w:tmpl w:val="3252C5CE"/>
    <w:lvl w:ilvl="0" w:tplc="1EE0F35C">
      <w:start w:val="1"/>
      <w:numFmt w:val="bullet"/>
      <w:lvlText w:val="•"/>
      <w:lvlJc w:val="left"/>
      <w:pPr>
        <w:tabs>
          <w:tab w:val="num" w:pos="720"/>
        </w:tabs>
        <w:ind w:left="720" w:hanging="360"/>
      </w:pPr>
      <w:rPr>
        <w:rFonts w:ascii="Arial" w:hAnsi="Arial" w:hint="default"/>
      </w:rPr>
    </w:lvl>
    <w:lvl w:ilvl="1" w:tplc="A70C06B6">
      <w:start w:val="2244"/>
      <w:numFmt w:val="bullet"/>
      <w:lvlText w:val="–"/>
      <w:lvlJc w:val="left"/>
      <w:pPr>
        <w:tabs>
          <w:tab w:val="num" w:pos="1440"/>
        </w:tabs>
        <w:ind w:left="1440" w:hanging="360"/>
      </w:pPr>
      <w:rPr>
        <w:rFonts w:ascii="Arial" w:hAnsi="Arial" w:hint="default"/>
      </w:rPr>
    </w:lvl>
    <w:lvl w:ilvl="2" w:tplc="C1D8EFC4">
      <w:start w:val="2244"/>
      <w:numFmt w:val="bullet"/>
      <w:lvlText w:val="•"/>
      <w:lvlJc w:val="left"/>
      <w:pPr>
        <w:tabs>
          <w:tab w:val="num" w:pos="2160"/>
        </w:tabs>
        <w:ind w:left="2160" w:hanging="360"/>
      </w:pPr>
      <w:rPr>
        <w:rFonts w:ascii="Arial" w:hAnsi="Arial" w:hint="default"/>
      </w:rPr>
    </w:lvl>
    <w:lvl w:ilvl="3" w:tplc="FC448376" w:tentative="1">
      <w:start w:val="1"/>
      <w:numFmt w:val="bullet"/>
      <w:lvlText w:val="•"/>
      <w:lvlJc w:val="left"/>
      <w:pPr>
        <w:tabs>
          <w:tab w:val="num" w:pos="2880"/>
        </w:tabs>
        <w:ind w:left="2880" w:hanging="360"/>
      </w:pPr>
      <w:rPr>
        <w:rFonts w:ascii="Arial" w:hAnsi="Arial" w:hint="default"/>
      </w:rPr>
    </w:lvl>
    <w:lvl w:ilvl="4" w:tplc="AAA4DAFE" w:tentative="1">
      <w:start w:val="1"/>
      <w:numFmt w:val="bullet"/>
      <w:lvlText w:val="•"/>
      <w:lvlJc w:val="left"/>
      <w:pPr>
        <w:tabs>
          <w:tab w:val="num" w:pos="3600"/>
        </w:tabs>
        <w:ind w:left="3600" w:hanging="360"/>
      </w:pPr>
      <w:rPr>
        <w:rFonts w:ascii="Arial" w:hAnsi="Arial" w:hint="default"/>
      </w:rPr>
    </w:lvl>
    <w:lvl w:ilvl="5" w:tplc="D6EE02C6" w:tentative="1">
      <w:start w:val="1"/>
      <w:numFmt w:val="bullet"/>
      <w:lvlText w:val="•"/>
      <w:lvlJc w:val="left"/>
      <w:pPr>
        <w:tabs>
          <w:tab w:val="num" w:pos="4320"/>
        </w:tabs>
        <w:ind w:left="4320" w:hanging="360"/>
      </w:pPr>
      <w:rPr>
        <w:rFonts w:ascii="Arial" w:hAnsi="Arial" w:hint="default"/>
      </w:rPr>
    </w:lvl>
    <w:lvl w:ilvl="6" w:tplc="E01C3A8E" w:tentative="1">
      <w:start w:val="1"/>
      <w:numFmt w:val="bullet"/>
      <w:lvlText w:val="•"/>
      <w:lvlJc w:val="left"/>
      <w:pPr>
        <w:tabs>
          <w:tab w:val="num" w:pos="5040"/>
        </w:tabs>
        <w:ind w:left="5040" w:hanging="360"/>
      </w:pPr>
      <w:rPr>
        <w:rFonts w:ascii="Arial" w:hAnsi="Arial" w:hint="default"/>
      </w:rPr>
    </w:lvl>
    <w:lvl w:ilvl="7" w:tplc="DA0201AA" w:tentative="1">
      <w:start w:val="1"/>
      <w:numFmt w:val="bullet"/>
      <w:lvlText w:val="•"/>
      <w:lvlJc w:val="left"/>
      <w:pPr>
        <w:tabs>
          <w:tab w:val="num" w:pos="5760"/>
        </w:tabs>
        <w:ind w:left="5760" w:hanging="360"/>
      </w:pPr>
      <w:rPr>
        <w:rFonts w:ascii="Arial" w:hAnsi="Arial" w:hint="default"/>
      </w:rPr>
    </w:lvl>
    <w:lvl w:ilvl="8" w:tplc="1F58C85E" w:tentative="1">
      <w:start w:val="1"/>
      <w:numFmt w:val="bullet"/>
      <w:lvlText w:val="•"/>
      <w:lvlJc w:val="left"/>
      <w:pPr>
        <w:tabs>
          <w:tab w:val="num" w:pos="6480"/>
        </w:tabs>
        <w:ind w:left="6480" w:hanging="360"/>
      </w:pPr>
      <w:rPr>
        <w:rFonts w:ascii="Arial" w:hAnsi="Arial" w:hint="default"/>
      </w:r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3AC298A"/>
    <w:multiLevelType w:val="hybridMultilevel"/>
    <w:tmpl w:val="BBF68146"/>
    <w:lvl w:ilvl="0" w:tplc="E378309E">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D3571F"/>
    <w:multiLevelType w:val="hybridMultilevel"/>
    <w:tmpl w:val="033EC420"/>
    <w:lvl w:ilvl="0" w:tplc="A12ECBB0">
      <w:start w:val="1"/>
      <w:numFmt w:val="bullet"/>
      <w:lvlText w:val="•"/>
      <w:lvlJc w:val="left"/>
      <w:pPr>
        <w:tabs>
          <w:tab w:val="num" w:pos="720"/>
        </w:tabs>
        <w:ind w:left="720" w:hanging="360"/>
      </w:pPr>
      <w:rPr>
        <w:rFonts w:ascii="Arial" w:hAnsi="Arial" w:hint="default"/>
      </w:rPr>
    </w:lvl>
    <w:lvl w:ilvl="1" w:tplc="CA1A0374">
      <w:start w:val="2609"/>
      <w:numFmt w:val="bullet"/>
      <w:lvlText w:val="–"/>
      <w:lvlJc w:val="left"/>
      <w:pPr>
        <w:tabs>
          <w:tab w:val="num" w:pos="1440"/>
        </w:tabs>
        <w:ind w:left="1440" w:hanging="360"/>
      </w:pPr>
      <w:rPr>
        <w:rFonts w:ascii="Arial" w:hAnsi="Arial" w:hint="default"/>
      </w:rPr>
    </w:lvl>
    <w:lvl w:ilvl="2" w:tplc="EB969B42">
      <w:start w:val="2609"/>
      <w:numFmt w:val="bullet"/>
      <w:lvlText w:val="•"/>
      <w:lvlJc w:val="left"/>
      <w:pPr>
        <w:tabs>
          <w:tab w:val="num" w:pos="2160"/>
        </w:tabs>
        <w:ind w:left="2160" w:hanging="360"/>
      </w:pPr>
      <w:rPr>
        <w:rFonts w:ascii="Arial" w:hAnsi="Arial" w:hint="default"/>
      </w:rPr>
    </w:lvl>
    <w:lvl w:ilvl="3" w:tplc="C0028FD0" w:tentative="1">
      <w:start w:val="1"/>
      <w:numFmt w:val="bullet"/>
      <w:lvlText w:val="•"/>
      <w:lvlJc w:val="left"/>
      <w:pPr>
        <w:tabs>
          <w:tab w:val="num" w:pos="2880"/>
        </w:tabs>
        <w:ind w:left="2880" w:hanging="360"/>
      </w:pPr>
      <w:rPr>
        <w:rFonts w:ascii="Arial" w:hAnsi="Arial" w:hint="default"/>
      </w:rPr>
    </w:lvl>
    <w:lvl w:ilvl="4" w:tplc="C6485F58" w:tentative="1">
      <w:start w:val="1"/>
      <w:numFmt w:val="bullet"/>
      <w:lvlText w:val="•"/>
      <w:lvlJc w:val="left"/>
      <w:pPr>
        <w:tabs>
          <w:tab w:val="num" w:pos="3600"/>
        </w:tabs>
        <w:ind w:left="3600" w:hanging="360"/>
      </w:pPr>
      <w:rPr>
        <w:rFonts w:ascii="Arial" w:hAnsi="Arial" w:hint="default"/>
      </w:rPr>
    </w:lvl>
    <w:lvl w:ilvl="5" w:tplc="0938F146" w:tentative="1">
      <w:start w:val="1"/>
      <w:numFmt w:val="bullet"/>
      <w:lvlText w:val="•"/>
      <w:lvlJc w:val="left"/>
      <w:pPr>
        <w:tabs>
          <w:tab w:val="num" w:pos="4320"/>
        </w:tabs>
        <w:ind w:left="4320" w:hanging="360"/>
      </w:pPr>
      <w:rPr>
        <w:rFonts w:ascii="Arial" w:hAnsi="Arial" w:hint="default"/>
      </w:rPr>
    </w:lvl>
    <w:lvl w:ilvl="6" w:tplc="8C8EAAB8" w:tentative="1">
      <w:start w:val="1"/>
      <w:numFmt w:val="bullet"/>
      <w:lvlText w:val="•"/>
      <w:lvlJc w:val="left"/>
      <w:pPr>
        <w:tabs>
          <w:tab w:val="num" w:pos="5040"/>
        </w:tabs>
        <w:ind w:left="5040" w:hanging="360"/>
      </w:pPr>
      <w:rPr>
        <w:rFonts w:ascii="Arial" w:hAnsi="Arial" w:hint="default"/>
      </w:rPr>
    </w:lvl>
    <w:lvl w:ilvl="7" w:tplc="E19EF7EC" w:tentative="1">
      <w:start w:val="1"/>
      <w:numFmt w:val="bullet"/>
      <w:lvlText w:val="•"/>
      <w:lvlJc w:val="left"/>
      <w:pPr>
        <w:tabs>
          <w:tab w:val="num" w:pos="5760"/>
        </w:tabs>
        <w:ind w:left="5760" w:hanging="360"/>
      </w:pPr>
      <w:rPr>
        <w:rFonts w:ascii="Arial" w:hAnsi="Arial" w:hint="default"/>
      </w:rPr>
    </w:lvl>
    <w:lvl w:ilvl="8" w:tplc="C7FA57D8" w:tentative="1">
      <w:start w:val="1"/>
      <w:numFmt w:val="bullet"/>
      <w:lvlText w:val="•"/>
      <w:lvlJc w:val="left"/>
      <w:pPr>
        <w:tabs>
          <w:tab w:val="num" w:pos="6480"/>
        </w:tabs>
        <w:ind w:left="6480" w:hanging="360"/>
      </w:pPr>
      <w:rPr>
        <w:rFonts w:ascii="Arial" w:hAnsi="Arial" w:hint="default"/>
      </w:rPr>
    </w:lvl>
  </w:abstractNum>
  <w:abstractNum w:abstractNumId="20">
    <w:nsid w:val="5A5B1D9F"/>
    <w:multiLevelType w:val="hybridMultilevel"/>
    <w:tmpl w:val="F89063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E066316"/>
    <w:multiLevelType w:val="hybridMultilevel"/>
    <w:tmpl w:val="437689EE"/>
    <w:lvl w:ilvl="0" w:tplc="6D7A532E">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abstractNum w:abstractNumId="22">
    <w:nsid w:val="61105B0F"/>
    <w:multiLevelType w:val="hybridMultilevel"/>
    <w:tmpl w:val="F89063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8FD0658"/>
    <w:multiLevelType w:val="hybridMultilevel"/>
    <w:tmpl w:val="FB4631D8"/>
    <w:lvl w:ilvl="0" w:tplc="08090001">
      <w:start w:val="1"/>
      <w:numFmt w:val="bullet"/>
      <w:lvlText w:val=""/>
      <w:lvlJc w:val="left"/>
      <w:pPr>
        <w:tabs>
          <w:tab w:val="num" w:pos="360"/>
        </w:tabs>
        <w:ind w:left="360" w:hanging="360"/>
      </w:pPr>
      <w:rPr>
        <w:rFonts w:ascii="Symbol" w:hAnsi="Symbo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abstractNum w:abstractNumId="24">
    <w:nsid w:val="74D13E29"/>
    <w:multiLevelType w:val="hybridMultilevel"/>
    <w:tmpl w:val="C54A4FD6"/>
    <w:lvl w:ilvl="0" w:tplc="2BF822F0">
      <w:start w:val="6"/>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5476F8C"/>
    <w:multiLevelType w:val="hybridMultilevel"/>
    <w:tmpl w:val="56DA76C8"/>
    <w:lvl w:ilvl="0" w:tplc="519053C2">
      <w:start w:val="1"/>
      <w:numFmt w:val="bullet"/>
      <w:lvlText w:val="•"/>
      <w:lvlJc w:val="left"/>
      <w:pPr>
        <w:tabs>
          <w:tab w:val="num" w:pos="360"/>
        </w:tabs>
        <w:ind w:left="360" w:hanging="360"/>
      </w:pPr>
      <w:rPr>
        <w:rFonts w:ascii="Arial" w:hAnsi="Arial" w:hint="default"/>
      </w:rPr>
    </w:lvl>
    <w:lvl w:ilvl="1" w:tplc="A9D60466">
      <w:start w:val="18"/>
      <w:numFmt w:val="bullet"/>
      <w:lvlText w:val="–"/>
      <w:lvlJc w:val="left"/>
      <w:pPr>
        <w:tabs>
          <w:tab w:val="num" w:pos="1080"/>
        </w:tabs>
        <w:ind w:left="1080" w:hanging="360"/>
      </w:pPr>
      <w:rPr>
        <w:rFonts w:ascii="Arial" w:hAnsi="Arial" w:hint="default"/>
      </w:rPr>
    </w:lvl>
    <w:lvl w:ilvl="2" w:tplc="07F6BE52">
      <w:start w:val="18"/>
      <w:numFmt w:val="bullet"/>
      <w:lvlText w:val="•"/>
      <w:lvlJc w:val="left"/>
      <w:pPr>
        <w:tabs>
          <w:tab w:val="num" w:pos="1800"/>
        </w:tabs>
        <w:ind w:left="1800" w:hanging="360"/>
      </w:pPr>
      <w:rPr>
        <w:rFonts w:ascii="Arial" w:hAnsi="Arial" w:hint="default"/>
      </w:rPr>
    </w:lvl>
    <w:lvl w:ilvl="3" w:tplc="07FC8FA2" w:tentative="1">
      <w:start w:val="1"/>
      <w:numFmt w:val="bullet"/>
      <w:lvlText w:val="•"/>
      <w:lvlJc w:val="left"/>
      <w:pPr>
        <w:tabs>
          <w:tab w:val="num" w:pos="2520"/>
        </w:tabs>
        <w:ind w:left="2520" w:hanging="360"/>
      </w:pPr>
      <w:rPr>
        <w:rFonts w:ascii="Arial" w:hAnsi="Arial" w:hint="default"/>
      </w:rPr>
    </w:lvl>
    <w:lvl w:ilvl="4" w:tplc="CE7ABCE8" w:tentative="1">
      <w:start w:val="1"/>
      <w:numFmt w:val="bullet"/>
      <w:lvlText w:val="•"/>
      <w:lvlJc w:val="left"/>
      <w:pPr>
        <w:tabs>
          <w:tab w:val="num" w:pos="3240"/>
        </w:tabs>
        <w:ind w:left="3240" w:hanging="360"/>
      </w:pPr>
      <w:rPr>
        <w:rFonts w:ascii="Arial" w:hAnsi="Arial" w:hint="default"/>
      </w:rPr>
    </w:lvl>
    <w:lvl w:ilvl="5" w:tplc="A20E9984" w:tentative="1">
      <w:start w:val="1"/>
      <w:numFmt w:val="bullet"/>
      <w:lvlText w:val="•"/>
      <w:lvlJc w:val="left"/>
      <w:pPr>
        <w:tabs>
          <w:tab w:val="num" w:pos="3960"/>
        </w:tabs>
        <w:ind w:left="3960" w:hanging="360"/>
      </w:pPr>
      <w:rPr>
        <w:rFonts w:ascii="Arial" w:hAnsi="Arial" w:hint="default"/>
      </w:rPr>
    </w:lvl>
    <w:lvl w:ilvl="6" w:tplc="CD1E8028" w:tentative="1">
      <w:start w:val="1"/>
      <w:numFmt w:val="bullet"/>
      <w:lvlText w:val="•"/>
      <w:lvlJc w:val="left"/>
      <w:pPr>
        <w:tabs>
          <w:tab w:val="num" w:pos="4680"/>
        </w:tabs>
        <w:ind w:left="4680" w:hanging="360"/>
      </w:pPr>
      <w:rPr>
        <w:rFonts w:ascii="Arial" w:hAnsi="Arial" w:hint="default"/>
      </w:rPr>
    </w:lvl>
    <w:lvl w:ilvl="7" w:tplc="2160BA66" w:tentative="1">
      <w:start w:val="1"/>
      <w:numFmt w:val="bullet"/>
      <w:lvlText w:val="•"/>
      <w:lvlJc w:val="left"/>
      <w:pPr>
        <w:tabs>
          <w:tab w:val="num" w:pos="5400"/>
        </w:tabs>
        <w:ind w:left="5400" w:hanging="360"/>
      </w:pPr>
      <w:rPr>
        <w:rFonts w:ascii="Arial" w:hAnsi="Arial" w:hint="default"/>
      </w:rPr>
    </w:lvl>
    <w:lvl w:ilvl="8" w:tplc="90DCB978" w:tentative="1">
      <w:start w:val="1"/>
      <w:numFmt w:val="bullet"/>
      <w:lvlText w:val="•"/>
      <w:lvlJc w:val="left"/>
      <w:pPr>
        <w:tabs>
          <w:tab w:val="num" w:pos="6120"/>
        </w:tabs>
        <w:ind w:left="6120" w:hanging="360"/>
      </w:pPr>
      <w:rPr>
        <w:rFonts w:ascii="Arial" w:hAnsi="Arial" w:hint="default"/>
      </w:rPr>
    </w:lvl>
  </w:abstractNum>
  <w:abstractNum w:abstractNumId="26">
    <w:nsid w:val="7A6D770D"/>
    <w:multiLevelType w:val="hybridMultilevel"/>
    <w:tmpl w:val="E43EDCD6"/>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7BAF2D9E"/>
    <w:multiLevelType w:val="hybridMultilevel"/>
    <w:tmpl w:val="E626BD3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8">
    <w:nsid w:val="7CA225E4"/>
    <w:multiLevelType w:val="hybridMultilevel"/>
    <w:tmpl w:val="F75E79D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0"/>
  </w:num>
  <w:num w:numId="2">
    <w:abstractNumId w:val="12"/>
  </w:num>
  <w:num w:numId="3">
    <w:abstractNumId w:val="23"/>
  </w:num>
  <w:num w:numId="4">
    <w:abstractNumId w:val="21"/>
  </w:num>
  <w:num w:numId="5">
    <w:abstractNumId w:val="19"/>
  </w:num>
  <w:num w:numId="6">
    <w:abstractNumId w:val="25"/>
  </w:num>
  <w:num w:numId="7">
    <w:abstractNumId w:val="8"/>
  </w:num>
  <w:num w:numId="8">
    <w:abstractNumId w:val="7"/>
  </w:num>
  <w:num w:numId="9">
    <w:abstractNumId w:val="11"/>
  </w:num>
  <w:num w:numId="10">
    <w:abstractNumId w:val="17"/>
  </w:num>
  <w:num w:numId="11">
    <w:abstractNumId w:val="18"/>
  </w:num>
  <w:num w:numId="12">
    <w:abstractNumId w:val="10"/>
  </w:num>
  <w:num w:numId="13">
    <w:abstractNumId w:val="2"/>
  </w:num>
  <w:num w:numId="14">
    <w:abstractNumId w:val="9"/>
  </w:num>
  <w:num w:numId="15">
    <w:abstractNumId w:val="3"/>
  </w:num>
  <w:num w:numId="16">
    <w:abstractNumId w:val="1"/>
  </w:num>
  <w:num w:numId="17">
    <w:abstractNumId w:val="24"/>
  </w:num>
  <w:num w:numId="18">
    <w:abstractNumId w:val="26"/>
  </w:num>
  <w:num w:numId="19">
    <w:abstractNumId w:val="0"/>
  </w:num>
  <w:num w:numId="20">
    <w:abstractNumId w:val="13"/>
  </w:num>
  <w:num w:numId="21">
    <w:abstractNumId w:val="15"/>
  </w:num>
  <w:num w:numId="22">
    <w:abstractNumId w:val="5"/>
  </w:num>
  <w:num w:numId="23">
    <w:abstractNumId w:val="16"/>
  </w:num>
  <w:num w:numId="24">
    <w:abstractNumId w:val="4"/>
  </w:num>
  <w:num w:numId="25">
    <w:abstractNumId w:val="28"/>
  </w:num>
  <w:num w:numId="26">
    <w:abstractNumId w:val="6"/>
  </w:num>
  <w:num w:numId="27">
    <w:abstractNumId w:val="22"/>
  </w:num>
  <w:num w:numId="28">
    <w:abstractNumId w:val="27"/>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E27"/>
    <w:rsid w:val="00013371"/>
    <w:rsid w:val="00013FD7"/>
    <w:rsid w:val="000205B1"/>
    <w:rsid w:val="00023B02"/>
    <w:rsid w:val="000302B0"/>
    <w:rsid w:val="00034BA6"/>
    <w:rsid w:val="00050A6C"/>
    <w:rsid w:val="00060F85"/>
    <w:rsid w:val="00065146"/>
    <w:rsid w:val="00066AF1"/>
    <w:rsid w:val="00066BE2"/>
    <w:rsid w:val="00080BCD"/>
    <w:rsid w:val="00082CE3"/>
    <w:rsid w:val="00087059"/>
    <w:rsid w:val="000900B8"/>
    <w:rsid w:val="00090E99"/>
    <w:rsid w:val="00097C14"/>
    <w:rsid w:val="000A1358"/>
    <w:rsid w:val="000A3070"/>
    <w:rsid w:val="000B4483"/>
    <w:rsid w:val="000C37F6"/>
    <w:rsid w:val="000E108E"/>
    <w:rsid w:val="000E42E1"/>
    <w:rsid w:val="000E5A27"/>
    <w:rsid w:val="00135CB8"/>
    <w:rsid w:val="00135D89"/>
    <w:rsid w:val="00176515"/>
    <w:rsid w:val="00177E14"/>
    <w:rsid w:val="0018438D"/>
    <w:rsid w:val="001926EF"/>
    <w:rsid w:val="00192F74"/>
    <w:rsid w:val="00193CF3"/>
    <w:rsid w:val="001A0208"/>
    <w:rsid w:val="001A39F2"/>
    <w:rsid w:val="001A531D"/>
    <w:rsid w:val="001A64FF"/>
    <w:rsid w:val="001B06F5"/>
    <w:rsid w:val="001B2CBB"/>
    <w:rsid w:val="001B5588"/>
    <w:rsid w:val="001C182C"/>
    <w:rsid w:val="001C3DAD"/>
    <w:rsid w:val="001D3F69"/>
    <w:rsid w:val="001D6E4A"/>
    <w:rsid w:val="001E0BB8"/>
    <w:rsid w:val="001E0E88"/>
    <w:rsid w:val="001E46A5"/>
    <w:rsid w:val="001F103D"/>
    <w:rsid w:val="00203B90"/>
    <w:rsid w:val="00205E0F"/>
    <w:rsid w:val="00207C53"/>
    <w:rsid w:val="00213954"/>
    <w:rsid w:val="00217D0A"/>
    <w:rsid w:val="00222109"/>
    <w:rsid w:val="00237DC4"/>
    <w:rsid w:val="00242999"/>
    <w:rsid w:val="00247C5F"/>
    <w:rsid w:val="00257C71"/>
    <w:rsid w:val="00265C17"/>
    <w:rsid w:val="00281A0E"/>
    <w:rsid w:val="00285707"/>
    <w:rsid w:val="00286BDE"/>
    <w:rsid w:val="002877E5"/>
    <w:rsid w:val="00294A93"/>
    <w:rsid w:val="002A057C"/>
    <w:rsid w:val="002A5D0F"/>
    <w:rsid w:val="002E4D5E"/>
    <w:rsid w:val="002F5EFF"/>
    <w:rsid w:val="00305A07"/>
    <w:rsid w:val="00311696"/>
    <w:rsid w:val="00322F4E"/>
    <w:rsid w:val="00331C5C"/>
    <w:rsid w:val="003333E3"/>
    <w:rsid w:val="0033441C"/>
    <w:rsid w:val="00345F79"/>
    <w:rsid w:val="00391E39"/>
    <w:rsid w:val="003947DF"/>
    <w:rsid w:val="003A1518"/>
    <w:rsid w:val="003A1C22"/>
    <w:rsid w:val="003A6BF2"/>
    <w:rsid w:val="003B6B69"/>
    <w:rsid w:val="003C44FB"/>
    <w:rsid w:val="003E1E4B"/>
    <w:rsid w:val="003E2AF0"/>
    <w:rsid w:val="003E4026"/>
    <w:rsid w:val="003F059C"/>
    <w:rsid w:val="003F1A76"/>
    <w:rsid w:val="00403F0A"/>
    <w:rsid w:val="004075E0"/>
    <w:rsid w:val="004077AD"/>
    <w:rsid w:val="00423E32"/>
    <w:rsid w:val="0042532D"/>
    <w:rsid w:val="00433861"/>
    <w:rsid w:val="004365A7"/>
    <w:rsid w:val="00452C67"/>
    <w:rsid w:val="004874E6"/>
    <w:rsid w:val="004E1125"/>
    <w:rsid w:val="004E2E35"/>
    <w:rsid w:val="004F109F"/>
    <w:rsid w:val="005268E1"/>
    <w:rsid w:val="0053445B"/>
    <w:rsid w:val="00550070"/>
    <w:rsid w:val="00564B3A"/>
    <w:rsid w:val="0059081E"/>
    <w:rsid w:val="005A52D4"/>
    <w:rsid w:val="005B68A4"/>
    <w:rsid w:val="005C4ADC"/>
    <w:rsid w:val="005C6011"/>
    <w:rsid w:val="005C61C3"/>
    <w:rsid w:val="005C76EF"/>
    <w:rsid w:val="005F06B0"/>
    <w:rsid w:val="005F2B38"/>
    <w:rsid w:val="0060026B"/>
    <w:rsid w:val="00604064"/>
    <w:rsid w:val="00604E79"/>
    <w:rsid w:val="00610D88"/>
    <w:rsid w:val="00615673"/>
    <w:rsid w:val="00637949"/>
    <w:rsid w:val="00637EFC"/>
    <w:rsid w:val="00657503"/>
    <w:rsid w:val="00673266"/>
    <w:rsid w:val="006826EA"/>
    <w:rsid w:val="00685E27"/>
    <w:rsid w:val="00695613"/>
    <w:rsid w:val="006A5632"/>
    <w:rsid w:val="006A6F11"/>
    <w:rsid w:val="006B5A1E"/>
    <w:rsid w:val="006C6819"/>
    <w:rsid w:val="006D4B15"/>
    <w:rsid w:val="006E325D"/>
    <w:rsid w:val="006E4414"/>
    <w:rsid w:val="0070140A"/>
    <w:rsid w:val="007029DB"/>
    <w:rsid w:val="0070542E"/>
    <w:rsid w:val="007113A5"/>
    <w:rsid w:val="00727576"/>
    <w:rsid w:val="0073799F"/>
    <w:rsid w:val="007427C0"/>
    <w:rsid w:val="00744AB1"/>
    <w:rsid w:val="007451D9"/>
    <w:rsid w:val="00745E5B"/>
    <w:rsid w:val="00752B7A"/>
    <w:rsid w:val="007572E3"/>
    <w:rsid w:val="007770E7"/>
    <w:rsid w:val="007822C6"/>
    <w:rsid w:val="00783FE3"/>
    <w:rsid w:val="00792D10"/>
    <w:rsid w:val="00794928"/>
    <w:rsid w:val="00794E34"/>
    <w:rsid w:val="007A1D80"/>
    <w:rsid w:val="007B2D6D"/>
    <w:rsid w:val="007C0B03"/>
    <w:rsid w:val="007E449C"/>
    <w:rsid w:val="007E6643"/>
    <w:rsid w:val="007E6B15"/>
    <w:rsid w:val="007F67D5"/>
    <w:rsid w:val="00802A60"/>
    <w:rsid w:val="0081126A"/>
    <w:rsid w:val="0081767E"/>
    <w:rsid w:val="008203DB"/>
    <w:rsid w:val="00820C83"/>
    <w:rsid w:val="008240AA"/>
    <w:rsid w:val="00826ECB"/>
    <w:rsid w:val="0084077B"/>
    <w:rsid w:val="00864209"/>
    <w:rsid w:val="00874517"/>
    <w:rsid w:val="008B0438"/>
    <w:rsid w:val="008B37F2"/>
    <w:rsid w:val="008D31AF"/>
    <w:rsid w:val="008E11D3"/>
    <w:rsid w:val="008F6B95"/>
    <w:rsid w:val="00915A79"/>
    <w:rsid w:val="00922342"/>
    <w:rsid w:val="0092595E"/>
    <w:rsid w:val="009262F1"/>
    <w:rsid w:val="00932350"/>
    <w:rsid w:val="009339C8"/>
    <w:rsid w:val="00933B9B"/>
    <w:rsid w:val="00946E2E"/>
    <w:rsid w:val="009518F3"/>
    <w:rsid w:val="00957426"/>
    <w:rsid w:val="009604C5"/>
    <w:rsid w:val="009728B9"/>
    <w:rsid w:val="00977068"/>
    <w:rsid w:val="009828A1"/>
    <w:rsid w:val="0099057E"/>
    <w:rsid w:val="009915BC"/>
    <w:rsid w:val="0099508C"/>
    <w:rsid w:val="009A0ABA"/>
    <w:rsid w:val="009A0D66"/>
    <w:rsid w:val="009B15B0"/>
    <w:rsid w:val="009B1E84"/>
    <w:rsid w:val="009C0795"/>
    <w:rsid w:val="009D1EBE"/>
    <w:rsid w:val="009D684F"/>
    <w:rsid w:val="009F07AB"/>
    <w:rsid w:val="009F6350"/>
    <w:rsid w:val="00A0077F"/>
    <w:rsid w:val="00A01A22"/>
    <w:rsid w:val="00A033E6"/>
    <w:rsid w:val="00A05A9C"/>
    <w:rsid w:val="00A10397"/>
    <w:rsid w:val="00A323B1"/>
    <w:rsid w:val="00A32E27"/>
    <w:rsid w:val="00A3342D"/>
    <w:rsid w:val="00A53E26"/>
    <w:rsid w:val="00A56DCF"/>
    <w:rsid w:val="00A574AC"/>
    <w:rsid w:val="00A62ABA"/>
    <w:rsid w:val="00A764AC"/>
    <w:rsid w:val="00A84E6E"/>
    <w:rsid w:val="00A91E14"/>
    <w:rsid w:val="00A95AFF"/>
    <w:rsid w:val="00A97817"/>
    <w:rsid w:val="00AA76AA"/>
    <w:rsid w:val="00AB33F7"/>
    <w:rsid w:val="00AB4325"/>
    <w:rsid w:val="00AB505E"/>
    <w:rsid w:val="00AB72A5"/>
    <w:rsid w:val="00AC2BD8"/>
    <w:rsid w:val="00AC472D"/>
    <w:rsid w:val="00AE571A"/>
    <w:rsid w:val="00AE639F"/>
    <w:rsid w:val="00AF70B1"/>
    <w:rsid w:val="00B029D2"/>
    <w:rsid w:val="00B04C54"/>
    <w:rsid w:val="00B12970"/>
    <w:rsid w:val="00B17B95"/>
    <w:rsid w:val="00B20062"/>
    <w:rsid w:val="00B2640D"/>
    <w:rsid w:val="00B34F22"/>
    <w:rsid w:val="00B36623"/>
    <w:rsid w:val="00B5641D"/>
    <w:rsid w:val="00B57E76"/>
    <w:rsid w:val="00B64242"/>
    <w:rsid w:val="00B66CBF"/>
    <w:rsid w:val="00B71FA5"/>
    <w:rsid w:val="00B978E2"/>
    <w:rsid w:val="00BB1301"/>
    <w:rsid w:val="00BF0880"/>
    <w:rsid w:val="00C00F9F"/>
    <w:rsid w:val="00C02477"/>
    <w:rsid w:val="00C07F84"/>
    <w:rsid w:val="00C1477F"/>
    <w:rsid w:val="00C15702"/>
    <w:rsid w:val="00C2137B"/>
    <w:rsid w:val="00C328D3"/>
    <w:rsid w:val="00C352BF"/>
    <w:rsid w:val="00C3736E"/>
    <w:rsid w:val="00C61B6D"/>
    <w:rsid w:val="00C66530"/>
    <w:rsid w:val="00C80CCE"/>
    <w:rsid w:val="00CA1295"/>
    <w:rsid w:val="00CB1B0E"/>
    <w:rsid w:val="00CB5029"/>
    <w:rsid w:val="00CC2D29"/>
    <w:rsid w:val="00CD6E1E"/>
    <w:rsid w:val="00CD7E5B"/>
    <w:rsid w:val="00CE4C4B"/>
    <w:rsid w:val="00CE753D"/>
    <w:rsid w:val="00CF2E43"/>
    <w:rsid w:val="00CF2EE5"/>
    <w:rsid w:val="00CF3266"/>
    <w:rsid w:val="00CF479F"/>
    <w:rsid w:val="00D0796D"/>
    <w:rsid w:val="00D32DF3"/>
    <w:rsid w:val="00D43CAB"/>
    <w:rsid w:val="00D51B3F"/>
    <w:rsid w:val="00D55CC6"/>
    <w:rsid w:val="00D87B2D"/>
    <w:rsid w:val="00D94CAB"/>
    <w:rsid w:val="00DB3896"/>
    <w:rsid w:val="00DC3FA7"/>
    <w:rsid w:val="00DC7EF7"/>
    <w:rsid w:val="00DE6114"/>
    <w:rsid w:val="00DF4E67"/>
    <w:rsid w:val="00E04763"/>
    <w:rsid w:val="00E126EF"/>
    <w:rsid w:val="00E14328"/>
    <w:rsid w:val="00E42215"/>
    <w:rsid w:val="00E75AB4"/>
    <w:rsid w:val="00E9229D"/>
    <w:rsid w:val="00EA0BC0"/>
    <w:rsid w:val="00EA5761"/>
    <w:rsid w:val="00EB4FD4"/>
    <w:rsid w:val="00EC0604"/>
    <w:rsid w:val="00ED2FB8"/>
    <w:rsid w:val="00ED6409"/>
    <w:rsid w:val="00EE23E8"/>
    <w:rsid w:val="00EE44C9"/>
    <w:rsid w:val="00EF5163"/>
    <w:rsid w:val="00EF598E"/>
    <w:rsid w:val="00F05F94"/>
    <w:rsid w:val="00F117C1"/>
    <w:rsid w:val="00F12AD2"/>
    <w:rsid w:val="00F14A2E"/>
    <w:rsid w:val="00F23AD6"/>
    <w:rsid w:val="00F40437"/>
    <w:rsid w:val="00F4256A"/>
    <w:rsid w:val="00F44246"/>
    <w:rsid w:val="00F5055A"/>
    <w:rsid w:val="00F52555"/>
    <w:rsid w:val="00F55690"/>
    <w:rsid w:val="00F6274C"/>
    <w:rsid w:val="00F87D34"/>
    <w:rsid w:val="00F90899"/>
    <w:rsid w:val="00F90C43"/>
    <w:rsid w:val="00F93DFC"/>
    <w:rsid w:val="00F94D02"/>
    <w:rsid w:val="00F96018"/>
    <w:rsid w:val="00FA092B"/>
    <w:rsid w:val="00FB7E45"/>
    <w:rsid w:val="00FD01F2"/>
    <w:rsid w:val="00FE46CF"/>
    <w:rsid w:val="00FF577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414"/>
    <w:pPr>
      <w:spacing w:after="180" w:line="240" w:lineRule="auto"/>
    </w:pPr>
    <w:rPr>
      <w:rFonts w:ascii="Times New Roman" w:eastAsia="MS Mincho" w:hAnsi="Times New Roman" w:cs="Times New Roman"/>
      <w:szCs w:val="20"/>
      <w:lang w:bidi="ar-SA"/>
    </w:rPr>
  </w:style>
  <w:style w:type="paragraph" w:styleId="Heading1">
    <w:name w:val="heading 1"/>
    <w:basedOn w:val="Normal"/>
    <w:next w:val="Normal"/>
    <w:link w:val="Heading1Char"/>
    <w:uiPriority w:val="9"/>
    <w:qFormat/>
    <w:rsid w:val="00A764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20062"/>
    <w:pPr>
      <w:widowControl w:val="0"/>
      <w:spacing w:after="0" w:line="240" w:lineRule="auto"/>
    </w:pPr>
    <w:rPr>
      <w:rFonts w:ascii="Arial" w:eastAsia="MS Mincho" w:hAnsi="Arial" w:cs="Times New Roman"/>
      <w:b/>
      <w:noProof/>
      <w:sz w:val="18"/>
      <w:szCs w:val="20"/>
      <w:lang w:val="en-GB" w:bidi="ar-SA"/>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B20062"/>
    <w:rPr>
      <w:rFonts w:ascii="Arial" w:eastAsia="MS Mincho" w:hAnsi="Arial" w:cs="Times New Roman"/>
      <w:b/>
      <w:noProof/>
      <w:sz w:val="18"/>
      <w:szCs w:val="20"/>
      <w:lang w:val="en-GB" w:bidi="ar-SA"/>
    </w:rPr>
  </w:style>
  <w:style w:type="character" w:customStyle="1" w:styleId="Heading1Char">
    <w:name w:val="Heading 1 Char"/>
    <w:basedOn w:val="DefaultParagraphFont"/>
    <w:link w:val="Heading1"/>
    <w:uiPriority w:val="9"/>
    <w:rsid w:val="00A764AC"/>
    <w:rPr>
      <w:rFonts w:asciiTheme="majorHAnsi" w:eastAsiaTheme="majorEastAsia" w:hAnsiTheme="majorHAnsi" w:cstheme="majorBidi"/>
      <w:b/>
      <w:bCs/>
      <w:color w:val="365F91" w:themeColor="accent1" w:themeShade="BF"/>
      <w:sz w:val="28"/>
      <w:szCs w:val="28"/>
      <w:lang w:bidi="ar-SA"/>
    </w:rPr>
  </w:style>
  <w:style w:type="paragraph" w:styleId="ListParagraph">
    <w:name w:val="List Paragraph"/>
    <w:basedOn w:val="Normal"/>
    <w:uiPriority w:val="34"/>
    <w:qFormat/>
    <w:rsid w:val="00EE44C9"/>
    <w:pPr>
      <w:ind w:left="720"/>
      <w:contextualSpacing/>
    </w:pPr>
  </w:style>
  <w:style w:type="paragraph" w:styleId="Caption">
    <w:name w:val="caption"/>
    <w:aliases w:val="cap"/>
    <w:basedOn w:val="Normal"/>
    <w:next w:val="Normal"/>
    <w:link w:val="CaptionChar"/>
    <w:unhideWhenUsed/>
    <w:qFormat/>
    <w:rsid w:val="00550070"/>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87451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4517"/>
    <w:rPr>
      <w:rFonts w:ascii="Tahoma" w:eastAsia="MS Mincho" w:hAnsi="Tahoma" w:cs="Tahoma"/>
      <w:sz w:val="16"/>
      <w:szCs w:val="16"/>
      <w:lang w:bidi="ar-SA"/>
    </w:rPr>
  </w:style>
  <w:style w:type="table" w:styleId="TableGrid">
    <w:name w:val="Table Grid"/>
    <w:basedOn w:val="TableNormal"/>
    <w:rsid w:val="00F14A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E4414"/>
    <w:pPr>
      <w:spacing w:after="0" w:line="240" w:lineRule="auto"/>
    </w:pPr>
    <w:rPr>
      <w:rFonts w:ascii="Times New Roman" w:eastAsia="MS Mincho" w:hAnsi="Times New Roman" w:cs="Times New Roman"/>
      <w:lang w:bidi="ar-SA"/>
    </w:rPr>
  </w:style>
  <w:style w:type="paragraph" w:customStyle="1" w:styleId="references">
    <w:name w:val="references"/>
    <w:uiPriority w:val="99"/>
    <w:rsid w:val="00213954"/>
    <w:pPr>
      <w:numPr>
        <w:numId w:val="10"/>
      </w:numPr>
      <w:spacing w:after="50" w:line="180" w:lineRule="exact"/>
      <w:jc w:val="both"/>
    </w:pPr>
    <w:rPr>
      <w:rFonts w:ascii="Times New Roman" w:eastAsia="MS Mincho" w:hAnsi="Times New Roman" w:cs="Times New Roman"/>
      <w:noProof/>
      <w:sz w:val="20"/>
      <w:szCs w:val="16"/>
      <w:lang w:bidi="ar-SA"/>
    </w:rPr>
  </w:style>
  <w:style w:type="paragraph" w:styleId="BodyText">
    <w:name w:val="Body Text"/>
    <w:basedOn w:val="Normal"/>
    <w:link w:val="BodyTextChar"/>
    <w:rsid w:val="007C0B03"/>
    <w:pPr>
      <w:spacing w:after="160"/>
      <w:jc w:val="both"/>
    </w:pPr>
    <w:rPr>
      <w:rFonts w:eastAsia="Times New Roman"/>
      <w:sz w:val="24"/>
      <w:szCs w:val="24"/>
      <w:lang w:bidi="he-IL"/>
    </w:rPr>
  </w:style>
  <w:style w:type="character" w:customStyle="1" w:styleId="BodyTextChar">
    <w:name w:val="Body Text Char"/>
    <w:basedOn w:val="DefaultParagraphFont"/>
    <w:link w:val="BodyText"/>
    <w:rsid w:val="007C0B03"/>
    <w:rPr>
      <w:rFonts w:ascii="Times New Roman" w:eastAsia="Times New Roman" w:hAnsi="Times New Roman" w:cs="Times New Roman"/>
      <w:sz w:val="24"/>
      <w:szCs w:val="24"/>
    </w:rPr>
  </w:style>
  <w:style w:type="character" w:customStyle="1" w:styleId="CaptionChar">
    <w:name w:val="Caption Char"/>
    <w:aliases w:val="cap Char"/>
    <w:link w:val="Caption"/>
    <w:rsid w:val="001F103D"/>
    <w:rPr>
      <w:rFonts w:ascii="Times New Roman" w:eastAsia="MS Mincho" w:hAnsi="Times New Roman" w:cs="Times New Roman"/>
      <w:b/>
      <w:bCs/>
      <w:color w:val="4F81BD" w:themeColor="accent1"/>
      <w:sz w:val="18"/>
      <w:szCs w:val="18"/>
      <w:lang w:bidi="ar-SA"/>
    </w:rPr>
  </w:style>
  <w:style w:type="character" w:customStyle="1" w:styleId="ContributionNumberChar">
    <w:name w:val="Contribution Number Char"/>
    <w:rsid w:val="00066AF1"/>
    <w:rPr>
      <w:rFonts w:ascii="Arial" w:hAnsi="Arial"/>
      <w:b/>
      <w:i/>
      <w:sz w:val="24"/>
      <w:lang w:val="en-GB" w:eastAsia="ko-KR" w:bidi="ar-SA"/>
    </w:rPr>
  </w:style>
  <w:style w:type="character" w:styleId="CommentReference">
    <w:name w:val="annotation reference"/>
    <w:basedOn w:val="DefaultParagraphFont"/>
    <w:uiPriority w:val="99"/>
    <w:semiHidden/>
    <w:unhideWhenUsed/>
    <w:rsid w:val="00BB1301"/>
    <w:rPr>
      <w:sz w:val="16"/>
      <w:szCs w:val="16"/>
    </w:rPr>
  </w:style>
  <w:style w:type="paragraph" w:styleId="CommentText">
    <w:name w:val="annotation text"/>
    <w:basedOn w:val="Normal"/>
    <w:link w:val="CommentTextChar"/>
    <w:uiPriority w:val="99"/>
    <w:semiHidden/>
    <w:unhideWhenUsed/>
    <w:rsid w:val="00BB1301"/>
    <w:rPr>
      <w:sz w:val="20"/>
    </w:rPr>
  </w:style>
  <w:style w:type="character" w:customStyle="1" w:styleId="CommentTextChar">
    <w:name w:val="Comment Text Char"/>
    <w:basedOn w:val="DefaultParagraphFont"/>
    <w:link w:val="CommentText"/>
    <w:uiPriority w:val="99"/>
    <w:semiHidden/>
    <w:rsid w:val="00BB1301"/>
    <w:rPr>
      <w:rFonts w:ascii="Times New Roman" w:eastAsia="MS Mincho" w:hAnsi="Times New Roman" w:cs="Times New Roman"/>
      <w:sz w:val="20"/>
      <w:szCs w:val="20"/>
      <w:lang w:bidi="ar-SA"/>
    </w:rPr>
  </w:style>
  <w:style w:type="paragraph" w:styleId="CommentSubject">
    <w:name w:val="annotation subject"/>
    <w:basedOn w:val="CommentText"/>
    <w:next w:val="CommentText"/>
    <w:link w:val="CommentSubjectChar"/>
    <w:uiPriority w:val="99"/>
    <w:semiHidden/>
    <w:unhideWhenUsed/>
    <w:rsid w:val="00BB1301"/>
    <w:rPr>
      <w:b/>
      <w:bCs/>
    </w:rPr>
  </w:style>
  <w:style w:type="character" w:customStyle="1" w:styleId="CommentSubjectChar">
    <w:name w:val="Comment Subject Char"/>
    <w:basedOn w:val="CommentTextChar"/>
    <w:link w:val="CommentSubject"/>
    <w:uiPriority w:val="99"/>
    <w:semiHidden/>
    <w:rsid w:val="00BB1301"/>
    <w:rPr>
      <w:rFonts w:ascii="Times New Roman" w:eastAsia="MS Mincho" w:hAnsi="Times New Roman" w:cs="Times New Roman"/>
      <w:b/>
      <w:bCs/>
      <w:sz w:val="20"/>
      <w:szCs w:val="20"/>
      <w:lang w:bidi="ar-SA"/>
    </w:rPr>
  </w:style>
  <w:style w:type="paragraph" w:styleId="FootnoteText">
    <w:name w:val="footnote text"/>
    <w:basedOn w:val="Normal"/>
    <w:link w:val="FootnoteTextChar"/>
    <w:uiPriority w:val="99"/>
    <w:semiHidden/>
    <w:unhideWhenUsed/>
    <w:rsid w:val="00C328D3"/>
    <w:pPr>
      <w:spacing w:after="0"/>
    </w:pPr>
    <w:rPr>
      <w:sz w:val="20"/>
    </w:rPr>
  </w:style>
  <w:style w:type="character" w:customStyle="1" w:styleId="FootnoteTextChar">
    <w:name w:val="Footnote Text Char"/>
    <w:basedOn w:val="DefaultParagraphFont"/>
    <w:link w:val="FootnoteText"/>
    <w:uiPriority w:val="99"/>
    <w:semiHidden/>
    <w:rsid w:val="00C328D3"/>
    <w:rPr>
      <w:rFonts w:ascii="Times New Roman" w:eastAsia="MS Mincho" w:hAnsi="Times New Roman" w:cs="Times New Roman"/>
      <w:sz w:val="20"/>
      <w:szCs w:val="20"/>
      <w:lang w:bidi="ar-SA"/>
    </w:rPr>
  </w:style>
  <w:style w:type="character" w:styleId="FootnoteReference">
    <w:name w:val="footnote reference"/>
    <w:basedOn w:val="DefaultParagraphFont"/>
    <w:uiPriority w:val="99"/>
    <w:semiHidden/>
    <w:unhideWhenUsed/>
    <w:rsid w:val="00C328D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414"/>
    <w:pPr>
      <w:spacing w:after="180" w:line="240" w:lineRule="auto"/>
    </w:pPr>
    <w:rPr>
      <w:rFonts w:ascii="Times New Roman" w:eastAsia="MS Mincho" w:hAnsi="Times New Roman" w:cs="Times New Roman"/>
      <w:szCs w:val="20"/>
      <w:lang w:bidi="ar-SA"/>
    </w:rPr>
  </w:style>
  <w:style w:type="paragraph" w:styleId="Heading1">
    <w:name w:val="heading 1"/>
    <w:basedOn w:val="Normal"/>
    <w:next w:val="Normal"/>
    <w:link w:val="Heading1Char"/>
    <w:uiPriority w:val="9"/>
    <w:qFormat/>
    <w:rsid w:val="00A764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20062"/>
    <w:pPr>
      <w:widowControl w:val="0"/>
      <w:spacing w:after="0" w:line="240" w:lineRule="auto"/>
    </w:pPr>
    <w:rPr>
      <w:rFonts w:ascii="Arial" w:eastAsia="MS Mincho" w:hAnsi="Arial" w:cs="Times New Roman"/>
      <w:b/>
      <w:noProof/>
      <w:sz w:val="18"/>
      <w:szCs w:val="20"/>
      <w:lang w:val="en-GB" w:bidi="ar-SA"/>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B20062"/>
    <w:rPr>
      <w:rFonts w:ascii="Arial" w:eastAsia="MS Mincho" w:hAnsi="Arial" w:cs="Times New Roman"/>
      <w:b/>
      <w:noProof/>
      <w:sz w:val="18"/>
      <w:szCs w:val="20"/>
      <w:lang w:val="en-GB" w:bidi="ar-SA"/>
    </w:rPr>
  </w:style>
  <w:style w:type="character" w:customStyle="1" w:styleId="Heading1Char">
    <w:name w:val="Heading 1 Char"/>
    <w:basedOn w:val="DefaultParagraphFont"/>
    <w:link w:val="Heading1"/>
    <w:uiPriority w:val="9"/>
    <w:rsid w:val="00A764AC"/>
    <w:rPr>
      <w:rFonts w:asciiTheme="majorHAnsi" w:eastAsiaTheme="majorEastAsia" w:hAnsiTheme="majorHAnsi" w:cstheme="majorBidi"/>
      <w:b/>
      <w:bCs/>
      <w:color w:val="365F91" w:themeColor="accent1" w:themeShade="BF"/>
      <w:sz w:val="28"/>
      <w:szCs w:val="28"/>
      <w:lang w:bidi="ar-SA"/>
    </w:rPr>
  </w:style>
  <w:style w:type="paragraph" w:styleId="ListParagraph">
    <w:name w:val="List Paragraph"/>
    <w:basedOn w:val="Normal"/>
    <w:uiPriority w:val="34"/>
    <w:qFormat/>
    <w:rsid w:val="00EE44C9"/>
    <w:pPr>
      <w:ind w:left="720"/>
      <w:contextualSpacing/>
    </w:pPr>
  </w:style>
  <w:style w:type="paragraph" w:styleId="Caption">
    <w:name w:val="caption"/>
    <w:aliases w:val="cap"/>
    <w:basedOn w:val="Normal"/>
    <w:next w:val="Normal"/>
    <w:link w:val="CaptionChar"/>
    <w:unhideWhenUsed/>
    <w:qFormat/>
    <w:rsid w:val="00550070"/>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87451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4517"/>
    <w:rPr>
      <w:rFonts w:ascii="Tahoma" w:eastAsia="MS Mincho" w:hAnsi="Tahoma" w:cs="Tahoma"/>
      <w:sz w:val="16"/>
      <w:szCs w:val="16"/>
      <w:lang w:bidi="ar-SA"/>
    </w:rPr>
  </w:style>
  <w:style w:type="table" w:styleId="TableGrid">
    <w:name w:val="Table Grid"/>
    <w:basedOn w:val="TableNormal"/>
    <w:rsid w:val="00F14A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E4414"/>
    <w:pPr>
      <w:spacing w:after="0" w:line="240" w:lineRule="auto"/>
    </w:pPr>
    <w:rPr>
      <w:rFonts w:ascii="Times New Roman" w:eastAsia="MS Mincho" w:hAnsi="Times New Roman" w:cs="Times New Roman"/>
      <w:lang w:bidi="ar-SA"/>
    </w:rPr>
  </w:style>
  <w:style w:type="paragraph" w:customStyle="1" w:styleId="references">
    <w:name w:val="references"/>
    <w:uiPriority w:val="99"/>
    <w:rsid w:val="00213954"/>
    <w:pPr>
      <w:numPr>
        <w:numId w:val="10"/>
      </w:numPr>
      <w:spacing w:after="50" w:line="180" w:lineRule="exact"/>
      <w:jc w:val="both"/>
    </w:pPr>
    <w:rPr>
      <w:rFonts w:ascii="Times New Roman" w:eastAsia="MS Mincho" w:hAnsi="Times New Roman" w:cs="Times New Roman"/>
      <w:noProof/>
      <w:sz w:val="20"/>
      <w:szCs w:val="16"/>
      <w:lang w:bidi="ar-SA"/>
    </w:rPr>
  </w:style>
  <w:style w:type="paragraph" w:styleId="BodyText">
    <w:name w:val="Body Text"/>
    <w:basedOn w:val="Normal"/>
    <w:link w:val="BodyTextChar"/>
    <w:rsid w:val="007C0B03"/>
    <w:pPr>
      <w:spacing w:after="160"/>
      <w:jc w:val="both"/>
    </w:pPr>
    <w:rPr>
      <w:rFonts w:eastAsia="Times New Roman"/>
      <w:sz w:val="24"/>
      <w:szCs w:val="24"/>
      <w:lang w:bidi="he-IL"/>
    </w:rPr>
  </w:style>
  <w:style w:type="character" w:customStyle="1" w:styleId="BodyTextChar">
    <w:name w:val="Body Text Char"/>
    <w:basedOn w:val="DefaultParagraphFont"/>
    <w:link w:val="BodyText"/>
    <w:rsid w:val="007C0B03"/>
    <w:rPr>
      <w:rFonts w:ascii="Times New Roman" w:eastAsia="Times New Roman" w:hAnsi="Times New Roman" w:cs="Times New Roman"/>
      <w:sz w:val="24"/>
      <w:szCs w:val="24"/>
    </w:rPr>
  </w:style>
  <w:style w:type="character" w:customStyle="1" w:styleId="CaptionChar">
    <w:name w:val="Caption Char"/>
    <w:aliases w:val="cap Char"/>
    <w:link w:val="Caption"/>
    <w:rsid w:val="001F103D"/>
    <w:rPr>
      <w:rFonts w:ascii="Times New Roman" w:eastAsia="MS Mincho" w:hAnsi="Times New Roman" w:cs="Times New Roman"/>
      <w:b/>
      <w:bCs/>
      <w:color w:val="4F81BD" w:themeColor="accent1"/>
      <w:sz w:val="18"/>
      <w:szCs w:val="18"/>
      <w:lang w:bidi="ar-SA"/>
    </w:rPr>
  </w:style>
  <w:style w:type="character" w:customStyle="1" w:styleId="ContributionNumberChar">
    <w:name w:val="Contribution Number Char"/>
    <w:rsid w:val="00066AF1"/>
    <w:rPr>
      <w:rFonts w:ascii="Arial" w:hAnsi="Arial"/>
      <w:b/>
      <w:i/>
      <w:sz w:val="24"/>
      <w:lang w:val="en-GB" w:eastAsia="ko-KR" w:bidi="ar-SA"/>
    </w:rPr>
  </w:style>
  <w:style w:type="character" w:styleId="CommentReference">
    <w:name w:val="annotation reference"/>
    <w:basedOn w:val="DefaultParagraphFont"/>
    <w:uiPriority w:val="99"/>
    <w:semiHidden/>
    <w:unhideWhenUsed/>
    <w:rsid w:val="00BB1301"/>
    <w:rPr>
      <w:sz w:val="16"/>
      <w:szCs w:val="16"/>
    </w:rPr>
  </w:style>
  <w:style w:type="paragraph" w:styleId="CommentText">
    <w:name w:val="annotation text"/>
    <w:basedOn w:val="Normal"/>
    <w:link w:val="CommentTextChar"/>
    <w:uiPriority w:val="99"/>
    <w:semiHidden/>
    <w:unhideWhenUsed/>
    <w:rsid w:val="00BB1301"/>
    <w:rPr>
      <w:sz w:val="20"/>
    </w:rPr>
  </w:style>
  <w:style w:type="character" w:customStyle="1" w:styleId="CommentTextChar">
    <w:name w:val="Comment Text Char"/>
    <w:basedOn w:val="DefaultParagraphFont"/>
    <w:link w:val="CommentText"/>
    <w:uiPriority w:val="99"/>
    <w:semiHidden/>
    <w:rsid w:val="00BB1301"/>
    <w:rPr>
      <w:rFonts w:ascii="Times New Roman" w:eastAsia="MS Mincho" w:hAnsi="Times New Roman" w:cs="Times New Roman"/>
      <w:sz w:val="20"/>
      <w:szCs w:val="20"/>
      <w:lang w:bidi="ar-SA"/>
    </w:rPr>
  </w:style>
  <w:style w:type="paragraph" w:styleId="CommentSubject">
    <w:name w:val="annotation subject"/>
    <w:basedOn w:val="CommentText"/>
    <w:next w:val="CommentText"/>
    <w:link w:val="CommentSubjectChar"/>
    <w:uiPriority w:val="99"/>
    <w:semiHidden/>
    <w:unhideWhenUsed/>
    <w:rsid w:val="00BB1301"/>
    <w:rPr>
      <w:b/>
      <w:bCs/>
    </w:rPr>
  </w:style>
  <w:style w:type="character" w:customStyle="1" w:styleId="CommentSubjectChar">
    <w:name w:val="Comment Subject Char"/>
    <w:basedOn w:val="CommentTextChar"/>
    <w:link w:val="CommentSubject"/>
    <w:uiPriority w:val="99"/>
    <w:semiHidden/>
    <w:rsid w:val="00BB1301"/>
    <w:rPr>
      <w:rFonts w:ascii="Times New Roman" w:eastAsia="MS Mincho" w:hAnsi="Times New Roman" w:cs="Times New Roman"/>
      <w:b/>
      <w:bCs/>
      <w:sz w:val="20"/>
      <w:szCs w:val="20"/>
      <w:lang w:bidi="ar-SA"/>
    </w:rPr>
  </w:style>
  <w:style w:type="paragraph" w:styleId="FootnoteText">
    <w:name w:val="footnote text"/>
    <w:basedOn w:val="Normal"/>
    <w:link w:val="FootnoteTextChar"/>
    <w:uiPriority w:val="99"/>
    <w:semiHidden/>
    <w:unhideWhenUsed/>
    <w:rsid w:val="00C328D3"/>
    <w:pPr>
      <w:spacing w:after="0"/>
    </w:pPr>
    <w:rPr>
      <w:sz w:val="20"/>
    </w:rPr>
  </w:style>
  <w:style w:type="character" w:customStyle="1" w:styleId="FootnoteTextChar">
    <w:name w:val="Footnote Text Char"/>
    <w:basedOn w:val="DefaultParagraphFont"/>
    <w:link w:val="FootnoteText"/>
    <w:uiPriority w:val="99"/>
    <w:semiHidden/>
    <w:rsid w:val="00C328D3"/>
    <w:rPr>
      <w:rFonts w:ascii="Times New Roman" w:eastAsia="MS Mincho" w:hAnsi="Times New Roman" w:cs="Times New Roman"/>
      <w:sz w:val="20"/>
      <w:szCs w:val="20"/>
      <w:lang w:bidi="ar-SA"/>
    </w:rPr>
  </w:style>
  <w:style w:type="character" w:styleId="FootnoteReference">
    <w:name w:val="footnote reference"/>
    <w:basedOn w:val="DefaultParagraphFont"/>
    <w:uiPriority w:val="99"/>
    <w:semiHidden/>
    <w:unhideWhenUsed/>
    <w:rsid w:val="00C328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504757">
      <w:bodyDiv w:val="1"/>
      <w:marLeft w:val="0"/>
      <w:marRight w:val="0"/>
      <w:marTop w:val="0"/>
      <w:marBottom w:val="0"/>
      <w:divBdr>
        <w:top w:val="none" w:sz="0" w:space="0" w:color="auto"/>
        <w:left w:val="none" w:sz="0" w:space="0" w:color="auto"/>
        <w:bottom w:val="none" w:sz="0" w:space="0" w:color="auto"/>
        <w:right w:val="none" w:sz="0" w:space="0" w:color="auto"/>
      </w:divBdr>
    </w:div>
    <w:div w:id="948245457">
      <w:bodyDiv w:val="1"/>
      <w:marLeft w:val="0"/>
      <w:marRight w:val="0"/>
      <w:marTop w:val="0"/>
      <w:marBottom w:val="0"/>
      <w:divBdr>
        <w:top w:val="none" w:sz="0" w:space="0" w:color="auto"/>
        <w:left w:val="none" w:sz="0" w:space="0" w:color="auto"/>
        <w:bottom w:val="none" w:sz="0" w:space="0" w:color="auto"/>
        <w:right w:val="none" w:sz="0" w:space="0" w:color="auto"/>
      </w:divBdr>
    </w:div>
    <w:div w:id="95965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6.bin"/><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image" Target="media/image20.wmf"/><Relationship Id="rId55" Type="http://schemas.openxmlformats.org/officeDocument/2006/relationships/oleObject" Target="embeddings/oleObject25.bin"/><Relationship Id="rId63" Type="http://schemas.openxmlformats.org/officeDocument/2006/relationships/oleObject" Target="embeddings/oleObject29.bin"/><Relationship Id="rId68" Type="http://schemas.openxmlformats.org/officeDocument/2006/relationships/image" Target="media/image29.wmf"/><Relationship Id="rId76" Type="http://schemas.openxmlformats.org/officeDocument/2006/relationships/oleObject" Target="embeddings/oleObject36.bin"/><Relationship Id="rId84" Type="http://schemas.openxmlformats.org/officeDocument/2006/relationships/image" Target="media/image36.wmf"/><Relationship Id="rId89"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33.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oleObject" Target="embeddings/oleObject35.bin"/><Relationship Id="rId79" Type="http://schemas.openxmlformats.org/officeDocument/2006/relationships/oleObject" Target="embeddings/oleObject38.bin"/><Relationship Id="rId87" Type="http://schemas.openxmlformats.org/officeDocument/2006/relationships/image" Target="media/image37.emf"/><Relationship Id="rId5" Type="http://schemas.openxmlformats.org/officeDocument/2006/relationships/settings" Target="settings.xml"/><Relationship Id="rId61" Type="http://schemas.openxmlformats.org/officeDocument/2006/relationships/oleObject" Target="embeddings/oleObject28.bin"/><Relationship Id="rId82" Type="http://schemas.openxmlformats.org/officeDocument/2006/relationships/image" Target="media/image35.wmf"/><Relationship Id="rId90" Type="http://schemas.openxmlformats.org/officeDocument/2006/relationships/theme" Target="theme/theme1.xml"/><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oleObject" Target="embeddings/oleObject19.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32.bin"/><Relationship Id="rId77" Type="http://schemas.openxmlformats.org/officeDocument/2006/relationships/oleObject" Target="embeddings/oleObject37.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4.bin"/><Relationship Id="rId80" Type="http://schemas.openxmlformats.org/officeDocument/2006/relationships/image" Target="media/image34.wmf"/><Relationship Id="rId85" Type="http://schemas.openxmlformats.org/officeDocument/2006/relationships/oleObject" Target="embeddings/oleObject41.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5.wmf"/><Relationship Id="rId46" Type="http://schemas.openxmlformats.org/officeDocument/2006/relationships/image" Target="media/image18.wmf"/><Relationship Id="rId59" Type="http://schemas.openxmlformats.org/officeDocument/2006/relationships/oleObject" Target="embeddings/oleObject27.bin"/><Relationship Id="rId67" Type="http://schemas.openxmlformats.org/officeDocument/2006/relationships/oleObject" Target="embeddings/oleObject31.bin"/><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image" Target="media/image32.wmf"/><Relationship Id="rId83" Type="http://schemas.openxmlformats.org/officeDocument/2006/relationships/oleObject" Target="embeddings/oleObject40.bin"/><Relationship Id="rId88" Type="http://schemas.openxmlformats.org/officeDocument/2006/relationships/oleObject" Target="embeddings/oleObject43.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30.bin"/><Relationship Id="rId73" Type="http://schemas.openxmlformats.org/officeDocument/2006/relationships/image" Target="media/image31.wmf"/><Relationship Id="rId78" Type="http://schemas.openxmlformats.org/officeDocument/2006/relationships/image" Target="media/image33.wmf"/><Relationship Id="rId81" Type="http://schemas.openxmlformats.org/officeDocument/2006/relationships/oleObject" Target="embeddings/oleObject39.bin"/><Relationship Id="rId86" Type="http://schemas.openxmlformats.org/officeDocument/2006/relationships/oleObject" Target="embeddings/oleObject4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70331-0E28-4002-9460-0EE0A254A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5</Pages>
  <Words>1529</Words>
  <Characters>8717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Marvell Semiconductor Ltd.</Company>
  <LinksUpToDate>false</LinksUpToDate>
  <CharactersWithSpaces>10226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Shimon Moshavi</dc:creator>
  <cp:lastModifiedBy>Shimon Moshavi</cp:lastModifiedBy>
  <cp:revision>11</cp:revision>
  <cp:lastPrinted>2015-08-06T16:04:00Z</cp:lastPrinted>
  <dcterms:created xsi:type="dcterms:W3CDTF">2015-08-13T10:10:00Z</dcterms:created>
  <dcterms:modified xsi:type="dcterms:W3CDTF">2015-09-24T17:03:00Z</dcterms:modified>
</cp:coreProperties>
</file>